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C06" w:rsidRDefault="00C16C06" w:rsidP="00C16C06">
      <w:pPr>
        <w:jc w:val="center"/>
        <w:rPr>
          <w:rFonts w:ascii="Arial" w:hAnsi="Arial" w:cs="Arial"/>
          <w:b/>
          <w:sz w:val="28"/>
          <w:szCs w:val="28"/>
        </w:rPr>
      </w:pPr>
      <w:r>
        <w:rPr>
          <w:rFonts w:ascii="Arial" w:hAnsi="Arial" w:cs="Arial"/>
          <w:b/>
          <w:noProof/>
          <w:sz w:val="28"/>
          <w:szCs w:val="28"/>
          <w:lang w:eastAsia="es-CR"/>
        </w:rPr>
        <w:drawing>
          <wp:anchor distT="0" distB="0" distL="114300" distR="114300" simplePos="0" relativeHeight="251663360" behindDoc="1" locked="0" layoutInCell="1" allowOverlap="1">
            <wp:simplePos x="0" y="0"/>
            <wp:positionH relativeFrom="column">
              <wp:posOffset>881323</wp:posOffset>
            </wp:positionH>
            <wp:positionV relativeFrom="paragraph">
              <wp:posOffset>-58073</wp:posOffset>
            </wp:positionV>
            <wp:extent cx="4056380" cy="1504315"/>
            <wp:effectExtent l="0" t="0" r="1270" b="635"/>
            <wp:wrapTight wrapText="bothSides">
              <wp:wrapPolygon edited="0">
                <wp:start x="0" y="0"/>
                <wp:lineTo x="0" y="21336"/>
                <wp:lineTo x="21505" y="21336"/>
                <wp:lineTo x="21505" y="0"/>
                <wp:lineTo x="0" y="0"/>
              </wp:wrapPolygon>
            </wp:wrapTight>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o INVU color.png"/>
                    <pic:cNvPicPr/>
                  </pic:nvPicPr>
                  <pic:blipFill rotWithShape="1">
                    <a:blip r:embed="rId8" cstate="print">
                      <a:extLst>
                        <a:ext uri="{28A0092B-C50C-407E-A947-70E740481C1C}">
                          <a14:useLocalDpi xmlns:a14="http://schemas.microsoft.com/office/drawing/2010/main" val="0"/>
                        </a:ext>
                      </a:extLst>
                    </a:blip>
                    <a:srcRect l="13204" t="23725" r="12027" b="21650"/>
                    <a:stretch/>
                  </pic:blipFill>
                  <pic:spPr bwMode="auto">
                    <a:xfrm>
                      <a:off x="0" y="0"/>
                      <a:ext cx="4056380" cy="1504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16C06" w:rsidRDefault="00C16C06" w:rsidP="00C16C06">
      <w:pPr>
        <w:jc w:val="center"/>
        <w:rPr>
          <w:rFonts w:ascii="Arial" w:hAnsi="Arial" w:cs="Arial"/>
          <w:b/>
          <w:sz w:val="28"/>
          <w:szCs w:val="28"/>
        </w:rPr>
      </w:pPr>
    </w:p>
    <w:p w:rsidR="00C16C06" w:rsidRDefault="00C16C06" w:rsidP="00C16C06">
      <w:pPr>
        <w:jc w:val="center"/>
        <w:rPr>
          <w:rFonts w:ascii="Arial" w:hAnsi="Arial" w:cs="Arial"/>
          <w:b/>
          <w:sz w:val="28"/>
          <w:szCs w:val="28"/>
        </w:rPr>
      </w:pPr>
    </w:p>
    <w:p w:rsidR="00C16C06" w:rsidRDefault="00C16C06" w:rsidP="00C16C06">
      <w:pPr>
        <w:jc w:val="center"/>
        <w:rPr>
          <w:rFonts w:ascii="Arial" w:hAnsi="Arial" w:cs="Arial"/>
          <w:b/>
          <w:sz w:val="28"/>
          <w:szCs w:val="28"/>
        </w:rPr>
      </w:pPr>
    </w:p>
    <w:p w:rsidR="00C16C06" w:rsidRDefault="00C16C06" w:rsidP="00C16C06">
      <w:pPr>
        <w:jc w:val="center"/>
        <w:rPr>
          <w:rFonts w:ascii="Arial" w:hAnsi="Arial" w:cs="Arial"/>
          <w:b/>
          <w:sz w:val="28"/>
          <w:szCs w:val="28"/>
        </w:rPr>
      </w:pPr>
    </w:p>
    <w:p w:rsidR="00480B80" w:rsidRDefault="00480B80" w:rsidP="00C16C06">
      <w:pPr>
        <w:jc w:val="center"/>
        <w:rPr>
          <w:rFonts w:ascii="Arial" w:hAnsi="Arial" w:cs="Arial"/>
          <w:b/>
          <w:sz w:val="36"/>
          <w:szCs w:val="32"/>
        </w:rPr>
      </w:pPr>
    </w:p>
    <w:p w:rsidR="00480B80" w:rsidRDefault="00480B80" w:rsidP="00C16C06">
      <w:pPr>
        <w:jc w:val="center"/>
        <w:rPr>
          <w:rFonts w:ascii="Arial" w:hAnsi="Arial" w:cs="Arial"/>
          <w:b/>
          <w:sz w:val="36"/>
          <w:szCs w:val="32"/>
        </w:rPr>
      </w:pPr>
    </w:p>
    <w:p w:rsidR="00C16C06" w:rsidRPr="00C16C06" w:rsidRDefault="00C16C06" w:rsidP="00C16C06">
      <w:pPr>
        <w:jc w:val="center"/>
        <w:rPr>
          <w:rFonts w:ascii="Arial" w:hAnsi="Arial" w:cs="Arial"/>
          <w:b/>
          <w:sz w:val="36"/>
          <w:szCs w:val="32"/>
        </w:rPr>
      </w:pPr>
      <w:r w:rsidRPr="00C16C06">
        <w:rPr>
          <w:rFonts w:ascii="Arial" w:hAnsi="Arial" w:cs="Arial"/>
          <w:b/>
          <w:sz w:val="36"/>
          <w:szCs w:val="32"/>
        </w:rPr>
        <w:t>Informe de seguimiento del</w:t>
      </w:r>
    </w:p>
    <w:p w:rsidR="00C16C06" w:rsidRPr="00C16C06" w:rsidRDefault="00C16C06" w:rsidP="00C16C06">
      <w:pPr>
        <w:jc w:val="center"/>
        <w:rPr>
          <w:rFonts w:ascii="Arial" w:hAnsi="Arial" w:cs="Arial"/>
          <w:b/>
          <w:sz w:val="36"/>
          <w:szCs w:val="32"/>
        </w:rPr>
      </w:pPr>
      <w:r w:rsidRPr="00C16C06">
        <w:rPr>
          <w:rFonts w:ascii="Arial" w:hAnsi="Arial" w:cs="Arial"/>
          <w:b/>
          <w:sz w:val="36"/>
          <w:szCs w:val="32"/>
        </w:rPr>
        <w:t>Plan Operativo Institucional</w:t>
      </w:r>
    </w:p>
    <w:p w:rsidR="00C16C06" w:rsidRPr="00C16C06" w:rsidRDefault="00C16C06" w:rsidP="00C16C06">
      <w:pPr>
        <w:jc w:val="center"/>
        <w:rPr>
          <w:rFonts w:ascii="Arial" w:hAnsi="Arial" w:cs="Arial"/>
          <w:b/>
          <w:sz w:val="36"/>
          <w:szCs w:val="32"/>
        </w:rPr>
      </w:pPr>
      <w:r w:rsidRPr="00C16C06">
        <w:rPr>
          <w:rFonts w:ascii="Arial" w:hAnsi="Arial" w:cs="Arial"/>
          <w:b/>
          <w:sz w:val="36"/>
          <w:szCs w:val="32"/>
        </w:rPr>
        <w:t>a diciembre 2017</w:t>
      </w:r>
    </w:p>
    <w:p w:rsidR="00C16C06" w:rsidRPr="00C16C06" w:rsidRDefault="00C16C06" w:rsidP="00C16C06">
      <w:pPr>
        <w:jc w:val="center"/>
        <w:rPr>
          <w:rFonts w:ascii="Arial" w:hAnsi="Arial" w:cs="Arial"/>
          <w:b/>
          <w:sz w:val="36"/>
          <w:szCs w:val="32"/>
        </w:rPr>
      </w:pPr>
    </w:p>
    <w:p w:rsidR="00C16C06" w:rsidRPr="00C16C06" w:rsidRDefault="00C16C06" w:rsidP="00C16C06">
      <w:pPr>
        <w:jc w:val="center"/>
        <w:rPr>
          <w:sz w:val="36"/>
          <w:szCs w:val="32"/>
        </w:rPr>
      </w:pPr>
    </w:p>
    <w:p w:rsidR="00C16C06" w:rsidRPr="00C16C06" w:rsidRDefault="00C16C06" w:rsidP="00C16C06">
      <w:pPr>
        <w:jc w:val="center"/>
        <w:rPr>
          <w:sz w:val="36"/>
          <w:szCs w:val="32"/>
        </w:rPr>
      </w:pPr>
    </w:p>
    <w:p w:rsidR="00C16C06" w:rsidRPr="00C16C06" w:rsidRDefault="00C16C06" w:rsidP="00C16C06">
      <w:pPr>
        <w:jc w:val="center"/>
        <w:rPr>
          <w:rFonts w:ascii="Arial" w:hAnsi="Arial" w:cs="Arial"/>
          <w:b/>
          <w:sz w:val="36"/>
          <w:szCs w:val="32"/>
        </w:rPr>
      </w:pPr>
      <w:r w:rsidRPr="00C16C06">
        <w:rPr>
          <w:rFonts w:ascii="Arial" w:hAnsi="Arial" w:cs="Arial"/>
          <w:b/>
          <w:sz w:val="36"/>
          <w:szCs w:val="32"/>
        </w:rPr>
        <w:t xml:space="preserve">Gerencia General </w:t>
      </w:r>
    </w:p>
    <w:p w:rsidR="00C16C06" w:rsidRPr="00C16C06" w:rsidRDefault="00C16C06" w:rsidP="00C16C06">
      <w:pPr>
        <w:jc w:val="center"/>
        <w:rPr>
          <w:rFonts w:ascii="Arial" w:hAnsi="Arial" w:cs="Arial"/>
          <w:b/>
          <w:sz w:val="36"/>
          <w:szCs w:val="32"/>
        </w:rPr>
      </w:pPr>
      <w:r w:rsidRPr="00C16C06">
        <w:rPr>
          <w:rFonts w:ascii="Arial" w:hAnsi="Arial" w:cs="Arial"/>
          <w:b/>
          <w:sz w:val="36"/>
          <w:szCs w:val="32"/>
        </w:rPr>
        <w:t>Planificación Institucional</w:t>
      </w:r>
    </w:p>
    <w:p w:rsidR="00C16C06" w:rsidRPr="00C16C06" w:rsidRDefault="00C16C06" w:rsidP="00C16C06">
      <w:pPr>
        <w:jc w:val="center"/>
        <w:rPr>
          <w:rFonts w:ascii="Arial" w:hAnsi="Arial" w:cs="Arial"/>
          <w:b/>
          <w:sz w:val="36"/>
          <w:szCs w:val="32"/>
        </w:rPr>
      </w:pPr>
    </w:p>
    <w:p w:rsidR="00C16C06" w:rsidRPr="00C16C06" w:rsidRDefault="00C16C06" w:rsidP="00C16C06">
      <w:pPr>
        <w:jc w:val="center"/>
        <w:rPr>
          <w:rFonts w:ascii="Arial" w:hAnsi="Arial" w:cs="Arial"/>
          <w:b/>
          <w:sz w:val="36"/>
          <w:szCs w:val="32"/>
        </w:rPr>
      </w:pPr>
    </w:p>
    <w:p w:rsidR="00C16C06" w:rsidRPr="00C16C06" w:rsidRDefault="00C16C06" w:rsidP="00C16C06">
      <w:pPr>
        <w:jc w:val="center"/>
        <w:rPr>
          <w:rFonts w:ascii="Arial" w:hAnsi="Arial" w:cs="Arial"/>
          <w:b/>
          <w:sz w:val="36"/>
          <w:szCs w:val="32"/>
        </w:rPr>
      </w:pPr>
    </w:p>
    <w:p w:rsidR="00C16C06" w:rsidRPr="00C16C06" w:rsidRDefault="00C16C06" w:rsidP="00C16C06">
      <w:pPr>
        <w:jc w:val="center"/>
        <w:rPr>
          <w:rFonts w:ascii="Arial" w:eastAsia="Times New Roman" w:hAnsi="Arial" w:cs="Arial"/>
          <w:sz w:val="36"/>
          <w:szCs w:val="32"/>
          <w:lang w:val="es-ES" w:eastAsia="es-ES"/>
        </w:rPr>
      </w:pPr>
      <w:r w:rsidRPr="00C16C06">
        <w:rPr>
          <w:rFonts w:ascii="Arial" w:hAnsi="Arial" w:cs="Arial"/>
          <w:b/>
          <w:sz w:val="36"/>
          <w:szCs w:val="32"/>
        </w:rPr>
        <w:t>Febrero 2017</w:t>
      </w:r>
    </w:p>
    <w:p w:rsidR="00DA62C0" w:rsidRDefault="00480B80" w:rsidP="00DA62C0">
      <w:pPr>
        <w:jc w:val="center"/>
        <w:rPr>
          <w:rFonts w:ascii="Arial" w:hAnsi="Arial" w:cs="Arial"/>
          <w:b/>
          <w:sz w:val="28"/>
          <w:szCs w:val="28"/>
          <w:lang w:val="es-ES"/>
        </w:rPr>
      </w:pPr>
      <w:r w:rsidRPr="00C67F7E">
        <w:rPr>
          <w:noProof/>
          <w:lang w:eastAsia="es-CR"/>
        </w:rPr>
        <w:lastRenderedPageBreak/>
        <w:drawing>
          <wp:inline distT="0" distB="0" distL="0" distR="0" wp14:anchorId="3B19B617" wp14:editId="646B5D61">
            <wp:extent cx="5612130" cy="6859270"/>
            <wp:effectExtent l="0" t="0" r="762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6859270"/>
                    </a:xfrm>
                    <a:prstGeom prst="rect">
                      <a:avLst/>
                    </a:prstGeom>
                    <a:noFill/>
                    <a:ln>
                      <a:noFill/>
                    </a:ln>
                  </pic:spPr>
                </pic:pic>
              </a:graphicData>
            </a:graphic>
          </wp:inline>
        </w:drawing>
      </w:r>
    </w:p>
    <w:p w:rsidR="00DA62C0" w:rsidRPr="002A4E2A" w:rsidRDefault="00DA62C0" w:rsidP="00DA62C0">
      <w:pPr>
        <w:jc w:val="center"/>
        <w:rPr>
          <w:rFonts w:ascii="Arial" w:hAnsi="Arial" w:cs="Arial"/>
          <w:b/>
          <w:sz w:val="28"/>
          <w:szCs w:val="28"/>
          <w:lang w:val="es-ES"/>
        </w:rPr>
      </w:pPr>
    </w:p>
    <w:p w:rsidR="00DA62C0" w:rsidRDefault="00DA62C0" w:rsidP="00480B80">
      <w:pPr>
        <w:rPr>
          <w:rFonts w:ascii="Arial" w:eastAsia="Times New Roman" w:hAnsi="Arial" w:cs="Arial"/>
          <w:sz w:val="20"/>
          <w:szCs w:val="20"/>
          <w:lang w:val="es-ES" w:eastAsia="es-ES"/>
        </w:rPr>
      </w:pPr>
    </w:p>
    <w:p w:rsidR="00DA62C0" w:rsidRDefault="00C67F7E">
      <w:pPr>
        <w:rPr>
          <w:rFonts w:ascii="Arial" w:eastAsia="Times New Roman" w:hAnsi="Arial" w:cs="Arial"/>
          <w:sz w:val="20"/>
          <w:szCs w:val="20"/>
          <w:lang w:val="es-ES" w:eastAsia="es-ES"/>
        </w:rPr>
      </w:pPr>
      <w:r w:rsidRPr="00C67F7E">
        <w:rPr>
          <w:noProof/>
          <w:lang w:eastAsia="es-CR"/>
        </w:rPr>
        <w:lastRenderedPageBreak/>
        <w:drawing>
          <wp:anchor distT="0" distB="0" distL="114300" distR="114300" simplePos="0" relativeHeight="251660288" behindDoc="0" locked="0" layoutInCell="1" allowOverlap="1">
            <wp:simplePos x="0" y="0"/>
            <wp:positionH relativeFrom="column">
              <wp:posOffset>0</wp:posOffset>
            </wp:positionH>
            <wp:positionV relativeFrom="paragraph">
              <wp:posOffset>-630555</wp:posOffset>
            </wp:positionV>
            <wp:extent cx="6080125" cy="8098790"/>
            <wp:effectExtent l="0" t="0" r="0" b="0"/>
            <wp:wrapSquare wrapText="bothSides"/>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0125" cy="8098790"/>
                    </a:xfrm>
                    <a:prstGeom prst="rect">
                      <a:avLst/>
                    </a:prstGeom>
                    <a:noFill/>
                    <a:ln>
                      <a:noFill/>
                    </a:ln>
                  </pic:spPr>
                </pic:pic>
              </a:graphicData>
            </a:graphic>
            <wp14:sizeRelH relativeFrom="page">
              <wp14:pctWidth>0</wp14:pctWidth>
            </wp14:sizeRelH>
            <wp14:sizeRelV relativeFrom="page">
              <wp14:pctHeight>0</wp14:pctHeight>
            </wp14:sizeRelV>
          </wp:anchor>
        </w:drawing>
      </w:r>
      <w:r w:rsidR="00DA62C0">
        <w:rPr>
          <w:rFonts w:ascii="Arial" w:eastAsia="Times New Roman" w:hAnsi="Arial" w:cs="Arial"/>
          <w:sz w:val="20"/>
          <w:szCs w:val="20"/>
          <w:lang w:val="es-ES" w:eastAsia="es-ES"/>
        </w:rPr>
        <w:br w:type="page"/>
      </w:r>
    </w:p>
    <w:p w:rsidR="00DA62C0" w:rsidRDefault="00DA62C0">
      <w:pPr>
        <w:rPr>
          <w:rFonts w:ascii="Arial" w:eastAsia="Times New Roman" w:hAnsi="Arial" w:cs="Arial"/>
          <w:sz w:val="20"/>
          <w:szCs w:val="20"/>
          <w:lang w:val="es-ES" w:eastAsia="es-ES"/>
        </w:rPr>
      </w:pPr>
    </w:p>
    <w:p w:rsidR="00BD7DC8" w:rsidRDefault="006B4B35">
      <w:r w:rsidRPr="006B4B35">
        <w:rPr>
          <w:noProof/>
          <w:lang w:eastAsia="es-CR"/>
        </w:rPr>
        <w:drawing>
          <wp:inline distT="0" distB="0" distL="0" distR="0" wp14:anchorId="4C1FA973" wp14:editId="75B46F26">
            <wp:extent cx="6124353" cy="7113181"/>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33050" cy="7123282"/>
                    </a:xfrm>
                    <a:prstGeom prst="rect">
                      <a:avLst/>
                    </a:prstGeom>
                    <a:noFill/>
                    <a:ln>
                      <a:noFill/>
                    </a:ln>
                  </pic:spPr>
                </pic:pic>
              </a:graphicData>
            </a:graphic>
          </wp:inline>
        </w:drawing>
      </w:r>
    </w:p>
    <w:p w:rsidR="00BD7DC8" w:rsidRDefault="00BD7DC8" w:rsidP="00BD7DC8">
      <w:pPr>
        <w:pStyle w:val="Ttulo1"/>
        <w:keepLines w:val="0"/>
        <w:spacing w:after="60" w:line="240" w:lineRule="auto"/>
        <w:ind w:left="928"/>
        <w:jc w:val="both"/>
        <w:rPr>
          <w:rFonts w:ascii="Arial" w:hAnsi="Arial" w:cs="Arial"/>
          <w:b/>
          <w:color w:val="auto"/>
          <w:sz w:val="20"/>
          <w:szCs w:val="20"/>
        </w:rPr>
      </w:pPr>
      <w:bookmarkStart w:id="0" w:name="_Toc426100786"/>
      <w:bookmarkStart w:id="1" w:name="_Toc482965755"/>
    </w:p>
    <w:p w:rsidR="00DA62C0" w:rsidRPr="00DA62C0" w:rsidRDefault="00DA62C0" w:rsidP="000665F1">
      <w:pPr>
        <w:pStyle w:val="Ttulo1"/>
        <w:keepLines w:val="0"/>
        <w:numPr>
          <w:ilvl w:val="0"/>
          <w:numId w:val="1"/>
        </w:numPr>
        <w:spacing w:after="60" w:line="240" w:lineRule="auto"/>
        <w:jc w:val="both"/>
        <w:rPr>
          <w:rFonts w:ascii="Arial" w:hAnsi="Arial" w:cs="Arial"/>
          <w:b/>
          <w:color w:val="auto"/>
          <w:sz w:val="20"/>
          <w:szCs w:val="20"/>
        </w:rPr>
      </w:pPr>
      <w:r w:rsidRPr="00DA62C0">
        <w:rPr>
          <w:rFonts w:ascii="Arial" w:hAnsi="Arial" w:cs="Arial"/>
          <w:b/>
          <w:color w:val="auto"/>
          <w:sz w:val="20"/>
          <w:szCs w:val="20"/>
        </w:rPr>
        <w:t>ASPECTOS GENERALES</w:t>
      </w:r>
      <w:bookmarkEnd w:id="0"/>
      <w:bookmarkEnd w:id="1"/>
    </w:p>
    <w:p w:rsidR="00DA62C0" w:rsidRPr="00E3152D" w:rsidRDefault="00DA62C0" w:rsidP="00DA62C0"/>
    <w:p w:rsidR="00DA62C0" w:rsidRPr="00DA62C0" w:rsidRDefault="00DA62C0" w:rsidP="00DA62C0">
      <w:pPr>
        <w:spacing w:after="0" w:line="240" w:lineRule="auto"/>
        <w:jc w:val="both"/>
        <w:rPr>
          <w:rFonts w:ascii="Arial" w:eastAsia="Times New Roman" w:hAnsi="Arial" w:cs="Arial"/>
          <w:sz w:val="20"/>
          <w:szCs w:val="20"/>
          <w:lang w:eastAsia="es-ES"/>
        </w:rPr>
      </w:pPr>
      <w:r w:rsidRPr="00DA62C0">
        <w:rPr>
          <w:rFonts w:ascii="Arial" w:eastAsia="Times New Roman" w:hAnsi="Arial" w:cs="Arial"/>
          <w:sz w:val="20"/>
          <w:szCs w:val="20"/>
          <w:lang w:eastAsia="es-ES"/>
        </w:rPr>
        <w:t>El Plan Anual Operativo incluye un total de 51 metas con sus respectivos indicadores. A diciembre se evalúan todas metas, distribuidas en los cuatro Programas Presupuestarios, a saber:</w:t>
      </w:r>
    </w:p>
    <w:p w:rsidR="00DA62C0" w:rsidRPr="00DA62C0" w:rsidRDefault="00DA62C0" w:rsidP="00DA62C0">
      <w:pPr>
        <w:spacing w:after="0" w:line="240" w:lineRule="auto"/>
        <w:jc w:val="both"/>
        <w:rPr>
          <w:rFonts w:ascii="Arial" w:eastAsia="Times New Roman" w:hAnsi="Arial" w:cs="Arial"/>
          <w:sz w:val="20"/>
          <w:szCs w:val="20"/>
          <w:lang w:eastAsia="es-ES"/>
        </w:rPr>
      </w:pPr>
    </w:p>
    <w:tbl>
      <w:tblPr>
        <w:tblW w:w="0" w:type="auto"/>
        <w:jc w:val="center"/>
        <w:tblLook w:val="04A0" w:firstRow="1" w:lastRow="0" w:firstColumn="1" w:lastColumn="0" w:noHBand="0" w:noVBand="1"/>
      </w:tblPr>
      <w:tblGrid>
        <w:gridCol w:w="5920"/>
        <w:gridCol w:w="1701"/>
      </w:tblGrid>
      <w:tr w:rsidR="00DA62C0" w:rsidRPr="00DA62C0" w:rsidTr="00746DC0">
        <w:trPr>
          <w:jc w:val="center"/>
        </w:trPr>
        <w:tc>
          <w:tcPr>
            <w:tcW w:w="5920" w:type="dxa"/>
            <w:shd w:val="clear" w:color="auto" w:fill="auto"/>
          </w:tcPr>
          <w:p w:rsidR="00DA62C0" w:rsidRPr="00DA62C0" w:rsidRDefault="00DA62C0" w:rsidP="00DA62C0">
            <w:pPr>
              <w:spacing w:after="0" w:line="240" w:lineRule="auto"/>
              <w:jc w:val="both"/>
              <w:rPr>
                <w:rFonts w:ascii="Arial" w:eastAsia="Times New Roman" w:hAnsi="Arial" w:cs="Arial"/>
                <w:sz w:val="20"/>
                <w:szCs w:val="20"/>
                <w:lang w:eastAsia="es-ES"/>
              </w:rPr>
            </w:pPr>
            <w:r w:rsidRPr="00DA62C0">
              <w:rPr>
                <w:rFonts w:ascii="Arial" w:eastAsia="Times New Roman" w:hAnsi="Arial" w:cs="Arial"/>
                <w:sz w:val="20"/>
                <w:szCs w:val="20"/>
                <w:lang w:eastAsia="es-ES"/>
              </w:rPr>
              <w:t>Programa</w:t>
            </w:r>
          </w:p>
        </w:tc>
        <w:tc>
          <w:tcPr>
            <w:tcW w:w="1701" w:type="dxa"/>
            <w:shd w:val="clear" w:color="auto" w:fill="auto"/>
          </w:tcPr>
          <w:p w:rsidR="00DA62C0" w:rsidRPr="00DA62C0" w:rsidRDefault="00DA62C0" w:rsidP="00DA62C0">
            <w:pPr>
              <w:spacing w:after="0" w:line="240" w:lineRule="auto"/>
              <w:jc w:val="both"/>
              <w:rPr>
                <w:rFonts w:ascii="Arial" w:eastAsia="Times New Roman" w:hAnsi="Arial" w:cs="Arial"/>
                <w:sz w:val="20"/>
                <w:szCs w:val="20"/>
                <w:lang w:eastAsia="es-ES"/>
              </w:rPr>
            </w:pPr>
            <w:r w:rsidRPr="00DA62C0">
              <w:rPr>
                <w:rFonts w:ascii="Arial" w:eastAsia="Times New Roman" w:hAnsi="Arial" w:cs="Arial"/>
                <w:sz w:val="20"/>
                <w:szCs w:val="20"/>
                <w:lang w:eastAsia="es-ES"/>
              </w:rPr>
              <w:t>Anual</w:t>
            </w:r>
          </w:p>
        </w:tc>
      </w:tr>
      <w:tr w:rsidR="00DA62C0" w:rsidRPr="00DA62C0" w:rsidTr="00746DC0">
        <w:trPr>
          <w:jc w:val="center"/>
        </w:trPr>
        <w:tc>
          <w:tcPr>
            <w:tcW w:w="5920" w:type="dxa"/>
            <w:shd w:val="clear" w:color="auto" w:fill="auto"/>
          </w:tcPr>
          <w:p w:rsidR="00DA62C0" w:rsidRPr="00DA62C0" w:rsidRDefault="00DA62C0" w:rsidP="00DA62C0">
            <w:pPr>
              <w:spacing w:after="0" w:line="240" w:lineRule="auto"/>
              <w:jc w:val="both"/>
              <w:rPr>
                <w:rFonts w:ascii="Arial" w:eastAsia="Times New Roman" w:hAnsi="Arial" w:cs="Arial"/>
                <w:sz w:val="20"/>
                <w:szCs w:val="20"/>
                <w:lang w:eastAsia="es-ES"/>
              </w:rPr>
            </w:pPr>
            <w:r w:rsidRPr="00DA62C0">
              <w:rPr>
                <w:rFonts w:ascii="Arial" w:eastAsia="Times New Roman" w:hAnsi="Arial" w:cs="Arial"/>
                <w:sz w:val="20"/>
                <w:szCs w:val="20"/>
                <w:lang w:eastAsia="es-ES"/>
              </w:rPr>
              <w:t>Programa N°1 Administración y Apoyo</w:t>
            </w:r>
          </w:p>
        </w:tc>
        <w:tc>
          <w:tcPr>
            <w:tcW w:w="1701" w:type="dxa"/>
            <w:shd w:val="clear" w:color="auto" w:fill="auto"/>
          </w:tcPr>
          <w:p w:rsidR="00DA62C0" w:rsidRPr="00DA62C0" w:rsidRDefault="00DA62C0" w:rsidP="00DA62C0">
            <w:pPr>
              <w:spacing w:after="0" w:line="240" w:lineRule="auto"/>
              <w:jc w:val="both"/>
              <w:rPr>
                <w:rFonts w:ascii="Arial" w:eastAsia="Times New Roman" w:hAnsi="Arial" w:cs="Arial"/>
                <w:sz w:val="20"/>
                <w:szCs w:val="20"/>
                <w:lang w:eastAsia="es-ES"/>
              </w:rPr>
            </w:pPr>
            <w:r w:rsidRPr="00DA62C0">
              <w:rPr>
                <w:rFonts w:ascii="Arial" w:eastAsia="Times New Roman" w:hAnsi="Arial" w:cs="Arial"/>
                <w:sz w:val="20"/>
                <w:szCs w:val="20"/>
                <w:lang w:eastAsia="es-ES"/>
              </w:rPr>
              <w:t>9</w:t>
            </w:r>
          </w:p>
        </w:tc>
      </w:tr>
      <w:tr w:rsidR="00DA62C0" w:rsidRPr="00DA62C0" w:rsidTr="00746DC0">
        <w:trPr>
          <w:jc w:val="center"/>
        </w:trPr>
        <w:tc>
          <w:tcPr>
            <w:tcW w:w="5920" w:type="dxa"/>
            <w:shd w:val="clear" w:color="auto" w:fill="auto"/>
          </w:tcPr>
          <w:p w:rsidR="00DA62C0" w:rsidRPr="00DA62C0" w:rsidRDefault="00DA62C0" w:rsidP="00DA62C0">
            <w:pPr>
              <w:spacing w:after="0" w:line="240" w:lineRule="auto"/>
              <w:jc w:val="both"/>
              <w:rPr>
                <w:rFonts w:ascii="Arial" w:eastAsia="Times New Roman" w:hAnsi="Arial" w:cs="Arial"/>
                <w:sz w:val="20"/>
                <w:szCs w:val="20"/>
                <w:lang w:eastAsia="es-ES"/>
              </w:rPr>
            </w:pPr>
            <w:r w:rsidRPr="00DA62C0">
              <w:rPr>
                <w:rFonts w:ascii="Arial" w:eastAsia="Times New Roman" w:hAnsi="Arial" w:cs="Arial"/>
                <w:sz w:val="20"/>
                <w:szCs w:val="20"/>
                <w:lang w:eastAsia="es-ES"/>
              </w:rPr>
              <w:t>Programa N°2 Urbanismo</w:t>
            </w:r>
          </w:p>
        </w:tc>
        <w:tc>
          <w:tcPr>
            <w:tcW w:w="1701" w:type="dxa"/>
            <w:shd w:val="clear" w:color="auto" w:fill="auto"/>
          </w:tcPr>
          <w:p w:rsidR="00DA62C0" w:rsidRPr="00DA62C0" w:rsidRDefault="00DA62C0" w:rsidP="00DA62C0">
            <w:pPr>
              <w:spacing w:after="0" w:line="240" w:lineRule="auto"/>
              <w:jc w:val="both"/>
              <w:rPr>
                <w:rFonts w:ascii="Arial" w:eastAsia="Times New Roman" w:hAnsi="Arial" w:cs="Arial"/>
                <w:sz w:val="20"/>
                <w:szCs w:val="20"/>
                <w:lang w:eastAsia="es-ES"/>
              </w:rPr>
            </w:pPr>
            <w:r w:rsidRPr="00DA62C0">
              <w:rPr>
                <w:rFonts w:ascii="Arial" w:eastAsia="Times New Roman" w:hAnsi="Arial" w:cs="Arial"/>
                <w:sz w:val="20"/>
                <w:szCs w:val="20"/>
                <w:lang w:eastAsia="es-ES"/>
              </w:rPr>
              <w:t>9</w:t>
            </w:r>
          </w:p>
        </w:tc>
      </w:tr>
      <w:tr w:rsidR="00DA62C0" w:rsidRPr="00DA62C0" w:rsidTr="00746DC0">
        <w:trPr>
          <w:jc w:val="center"/>
        </w:trPr>
        <w:tc>
          <w:tcPr>
            <w:tcW w:w="5920" w:type="dxa"/>
            <w:shd w:val="clear" w:color="auto" w:fill="auto"/>
          </w:tcPr>
          <w:p w:rsidR="00DA62C0" w:rsidRPr="00DA62C0" w:rsidRDefault="00DA62C0" w:rsidP="00DA62C0">
            <w:pPr>
              <w:spacing w:after="0" w:line="240" w:lineRule="auto"/>
              <w:jc w:val="both"/>
              <w:rPr>
                <w:rFonts w:ascii="Arial" w:eastAsia="Times New Roman" w:hAnsi="Arial" w:cs="Arial"/>
                <w:sz w:val="20"/>
                <w:szCs w:val="20"/>
                <w:lang w:eastAsia="es-ES"/>
              </w:rPr>
            </w:pPr>
            <w:r w:rsidRPr="00DA62C0">
              <w:rPr>
                <w:rFonts w:ascii="Arial" w:eastAsia="Times New Roman" w:hAnsi="Arial" w:cs="Arial"/>
                <w:sz w:val="20"/>
                <w:szCs w:val="20"/>
                <w:lang w:eastAsia="es-ES"/>
              </w:rPr>
              <w:t>Programa N°3 Programas Habitacionales</w:t>
            </w:r>
          </w:p>
        </w:tc>
        <w:tc>
          <w:tcPr>
            <w:tcW w:w="1701" w:type="dxa"/>
            <w:shd w:val="clear" w:color="auto" w:fill="auto"/>
          </w:tcPr>
          <w:p w:rsidR="00DA62C0" w:rsidRPr="00DA62C0" w:rsidRDefault="00DA62C0" w:rsidP="00DA62C0">
            <w:pPr>
              <w:spacing w:after="0" w:line="240" w:lineRule="auto"/>
              <w:jc w:val="both"/>
              <w:rPr>
                <w:rFonts w:ascii="Arial" w:eastAsia="Times New Roman" w:hAnsi="Arial" w:cs="Arial"/>
                <w:sz w:val="20"/>
                <w:szCs w:val="20"/>
                <w:lang w:eastAsia="es-ES"/>
              </w:rPr>
            </w:pPr>
            <w:r w:rsidRPr="00DA62C0">
              <w:rPr>
                <w:rFonts w:ascii="Arial" w:eastAsia="Times New Roman" w:hAnsi="Arial" w:cs="Arial"/>
                <w:sz w:val="20"/>
                <w:szCs w:val="20"/>
                <w:lang w:eastAsia="es-ES"/>
              </w:rPr>
              <w:t>25</w:t>
            </w:r>
          </w:p>
        </w:tc>
      </w:tr>
      <w:tr w:rsidR="00DA62C0" w:rsidRPr="00DA62C0" w:rsidTr="00746DC0">
        <w:trPr>
          <w:jc w:val="center"/>
        </w:trPr>
        <w:tc>
          <w:tcPr>
            <w:tcW w:w="5920" w:type="dxa"/>
            <w:shd w:val="clear" w:color="auto" w:fill="auto"/>
          </w:tcPr>
          <w:p w:rsidR="00DA62C0" w:rsidRPr="00DA62C0" w:rsidRDefault="00DA62C0" w:rsidP="00DA62C0">
            <w:pPr>
              <w:spacing w:after="0" w:line="240" w:lineRule="auto"/>
              <w:jc w:val="both"/>
              <w:rPr>
                <w:rFonts w:ascii="Arial" w:eastAsia="Times New Roman" w:hAnsi="Arial" w:cs="Arial"/>
                <w:sz w:val="20"/>
                <w:szCs w:val="20"/>
                <w:lang w:eastAsia="es-ES"/>
              </w:rPr>
            </w:pPr>
            <w:r w:rsidRPr="00DA62C0">
              <w:rPr>
                <w:rFonts w:ascii="Arial" w:eastAsia="Times New Roman" w:hAnsi="Arial" w:cs="Arial"/>
                <w:sz w:val="20"/>
                <w:szCs w:val="20"/>
                <w:lang w:eastAsia="es-ES"/>
              </w:rPr>
              <w:t>Programa N°4 Gestión de Programas de Financiamiento</w:t>
            </w:r>
          </w:p>
        </w:tc>
        <w:tc>
          <w:tcPr>
            <w:tcW w:w="1701" w:type="dxa"/>
            <w:shd w:val="clear" w:color="auto" w:fill="auto"/>
          </w:tcPr>
          <w:p w:rsidR="00DA62C0" w:rsidRPr="00DA62C0" w:rsidRDefault="00DA62C0" w:rsidP="00DA62C0">
            <w:pPr>
              <w:spacing w:after="0" w:line="240" w:lineRule="auto"/>
              <w:jc w:val="both"/>
              <w:rPr>
                <w:rFonts w:ascii="Arial" w:eastAsia="Times New Roman" w:hAnsi="Arial" w:cs="Arial"/>
                <w:sz w:val="20"/>
                <w:szCs w:val="20"/>
                <w:lang w:eastAsia="es-ES"/>
              </w:rPr>
            </w:pPr>
            <w:r w:rsidRPr="00DA62C0">
              <w:rPr>
                <w:rFonts w:ascii="Arial" w:eastAsia="Times New Roman" w:hAnsi="Arial" w:cs="Arial"/>
                <w:sz w:val="20"/>
                <w:szCs w:val="20"/>
                <w:lang w:eastAsia="es-ES"/>
              </w:rPr>
              <w:t>8</w:t>
            </w:r>
          </w:p>
        </w:tc>
      </w:tr>
      <w:tr w:rsidR="00DA62C0" w:rsidRPr="00DA62C0" w:rsidTr="00746DC0">
        <w:trPr>
          <w:jc w:val="center"/>
        </w:trPr>
        <w:tc>
          <w:tcPr>
            <w:tcW w:w="5920" w:type="dxa"/>
            <w:shd w:val="clear" w:color="auto" w:fill="auto"/>
          </w:tcPr>
          <w:p w:rsidR="00DA62C0" w:rsidRPr="00DA62C0" w:rsidRDefault="00DA62C0" w:rsidP="00DA62C0">
            <w:pPr>
              <w:spacing w:after="0" w:line="240" w:lineRule="auto"/>
              <w:jc w:val="both"/>
              <w:rPr>
                <w:rFonts w:ascii="Arial" w:eastAsia="Times New Roman" w:hAnsi="Arial" w:cs="Arial"/>
                <w:sz w:val="20"/>
                <w:szCs w:val="20"/>
                <w:lang w:eastAsia="es-ES"/>
              </w:rPr>
            </w:pPr>
            <w:r w:rsidRPr="00DA62C0">
              <w:rPr>
                <w:rFonts w:ascii="Arial" w:eastAsia="Times New Roman" w:hAnsi="Arial" w:cs="Arial"/>
                <w:sz w:val="20"/>
                <w:szCs w:val="20"/>
                <w:lang w:eastAsia="es-ES"/>
              </w:rPr>
              <w:t>Total</w:t>
            </w:r>
          </w:p>
        </w:tc>
        <w:tc>
          <w:tcPr>
            <w:tcW w:w="1701" w:type="dxa"/>
            <w:shd w:val="clear" w:color="auto" w:fill="auto"/>
          </w:tcPr>
          <w:p w:rsidR="00DA62C0" w:rsidRPr="00DA62C0" w:rsidRDefault="00DA62C0" w:rsidP="00DA62C0">
            <w:pPr>
              <w:spacing w:after="0" w:line="240" w:lineRule="auto"/>
              <w:jc w:val="both"/>
              <w:rPr>
                <w:rFonts w:ascii="Arial" w:eastAsia="Times New Roman" w:hAnsi="Arial" w:cs="Arial"/>
                <w:sz w:val="20"/>
                <w:szCs w:val="20"/>
                <w:lang w:eastAsia="es-ES"/>
              </w:rPr>
            </w:pPr>
            <w:r w:rsidRPr="00DA62C0">
              <w:rPr>
                <w:rFonts w:ascii="Arial" w:eastAsia="Times New Roman" w:hAnsi="Arial" w:cs="Arial"/>
                <w:sz w:val="20"/>
                <w:szCs w:val="20"/>
                <w:lang w:eastAsia="es-ES"/>
              </w:rPr>
              <w:t>51</w:t>
            </w:r>
          </w:p>
        </w:tc>
      </w:tr>
    </w:tbl>
    <w:p w:rsidR="00DA62C0" w:rsidRPr="00DA62C0" w:rsidRDefault="00DA62C0" w:rsidP="00DA62C0">
      <w:pPr>
        <w:spacing w:after="0" w:line="240" w:lineRule="auto"/>
        <w:jc w:val="both"/>
        <w:rPr>
          <w:rFonts w:ascii="Arial" w:eastAsia="Times New Roman" w:hAnsi="Arial" w:cs="Arial"/>
          <w:sz w:val="20"/>
          <w:szCs w:val="20"/>
          <w:lang w:eastAsia="es-ES"/>
        </w:rPr>
      </w:pPr>
    </w:p>
    <w:p w:rsidR="00DA62C0" w:rsidRPr="00DA62C0" w:rsidRDefault="00DA62C0" w:rsidP="00DA62C0">
      <w:pPr>
        <w:spacing w:after="0" w:line="240" w:lineRule="auto"/>
        <w:jc w:val="both"/>
        <w:rPr>
          <w:rFonts w:ascii="Arial" w:eastAsia="Times New Roman" w:hAnsi="Arial" w:cs="Arial"/>
          <w:sz w:val="20"/>
          <w:szCs w:val="20"/>
          <w:lang w:eastAsia="es-ES"/>
        </w:rPr>
      </w:pPr>
      <w:r w:rsidRPr="00DA62C0">
        <w:rPr>
          <w:rFonts w:ascii="Arial" w:eastAsia="Times New Roman" w:hAnsi="Arial" w:cs="Arial"/>
          <w:sz w:val="20"/>
          <w:szCs w:val="20"/>
          <w:lang w:eastAsia="es-ES"/>
        </w:rPr>
        <w:t xml:space="preserve">El documento incluye también el avance de lo realizado en proyectos impulsados por la Administración, </w:t>
      </w:r>
      <w:r w:rsidRPr="00DA62C0">
        <w:rPr>
          <w:rFonts w:ascii="Arial" w:eastAsia="Times New Roman" w:hAnsi="Arial" w:cs="Arial"/>
          <w:sz w:val="20"/>
          <w:szCs w:val="20"/>
          <w:lang w:eastAsia="es-ES"/>
        </w:rPr>
        <w:tab/>
      </w:r>
      <w:r w:rsidRPr="00DA62C0">
        <w:rPr>
          <w:rFonts w:ascii="Arial" w:eastAsia="Times New Roman" w:hAnsi="Arial" w:cs="Arial"/>
          <w:sz w:val="20"/>
          <w:szCs w:val="20"/>
          <w:lang w:eastAsia="es-ES"/>
        </w:rPr>
        <w:tab/>
      </w:r>
      <w:r w:rsidRPr="00DA62C0">
        <w:rPr>
          <w:rFonts w:ascii="Arial" w:eastAsia="Times New Roman" w:hAnsi="Arial" w:cs="Arial"/>
          <w:sz w:val="20"/>
          <w:szCs w:val="20"/>
          <w:lang w:eastAsia="es-ES"/>
        </w:rPr>
        <w:tab/>
        <w:t>que no se han concluido a la fecha, y se les ha dado seguimiento desde el año 2015.</w:t>
      </w:r>
    </w:p>
    <w:p w:rsidR="00DA62C0" w:rsidRPr="00DA62C0" w:rsidRDefault="00DA62C0" w:rsidP="00DA62C0">
      <w:pPr>
        <w:spacing w:after="0" w:line="240" w:lineRule="auto"/>
        <w:jc w:val="both"/>
        <w:rPr>
          <w:rFonts w:ascii="Arial" w:eastAsia="Times New Roman" w:hAnsi="Arial" w:cs="Arial"/>
          <w:sz w:val="20"/>
          <w:szCs w:val="20"/>
          <w:lang w:eastAsia="es-ES"/>
        </w:rPr>
      </w:pPr>
      <w:r w:rsidRPr="00DA62C0">
        <w:rPr>
          <w:rFonts w:ascii="Arial" w:eastAsia="Times New Roman" w:hAnsi="Arial" w:cs="Arial"/>
          <w:sz w:val="20"/>
          <w:szCs w:val="20"/>
          <w:lang w:eastAsia="es-ES"/>
        </w:rPr>
        <w:tab/>
      </w:r>
    </w:p>
    <w:p w:rsidR="00DA62C0" w:rsidRPr="00DA62C0" w:rsidRDefault="00DA62C0" w:rsidP="00DA62C0">
      <w:pPr>
        <w:spacing w:after="0" w:line="240" w:lineRule="auto"/>
        <w:jc w:val="both"/>
        <w:rPr>
          <w:rFonts w:ascii="Arial" w:eastAsia="Times New Roman" w:hAnsi="Arial" w:cs="Arial"/>
          <w:sz w:val="20"/>
          <w:szCs w:val="20"/>
          <w:lang w:eastAsia="es-ES"/>
        </w:rPr>
      </w:pPr>
      <w:r w:rsidRPr="00DA62C0">
        <w:rPr>
          <w:rFonts w:ascii="Arial" w:eastAsia="Times New Roman" w:hAnsi="Arial" w:cs="Arial"/>
          <w:sz w:val="20"/>
          <w:szCs w:val="20"/>
          <w:lang w:eastAsia="es-ES"/>
        </w:rPr>
        <w:t xml:space="preserve">El análisis de las metas  a nivel de cada programa presupuestario, se hará de acuerdo con lo programado en la Matriz de Programación Estratégica </w:t>
      </w:r>
      <w:r w:rsidR="000316DE" w:rsidRPr="00DA62C0">
        <w:rPr>
          <w:rFonts w:ascii="Arial" w:eastAsia="Times New Roman" w:hAnsi="Arial" w:cs="Arial"/>
          <w:sz w:val="20"/>
          <w:szCs w:val="20"/>
          <w:lang w:eastAsia="es-ES"/>
        </w:rPr>
        <w:t>incluida</w:t>
      </w:r>
      <w:r w:rsidRPr="00DA62C0">
        <w:rPr>
          <w:rFonts w:ascii="Arial" w:eastAsia="Times New Roman" w:hAnsi="Arial" w:cs="Arial"/>
          <w:sz w:val="20"/>
          <w:szCs w:val="20"/>
          <w:lang w:eastAsia="es-ES"/>
        </w:rPr>
        <w:t xml:space="preserve"> en el Plan Operativo Institucional.</w:t>
      </w:r>
    </w:p>
    <w:p w:rsidR="00DA62C0" w:rsidRPr="00DA62C0" w:rsidRDefault="00DA62C0" w:rsidP="00DA62C0">
      <w:pPr>
        <w:spacing w:after="0" w:line="240" w:lineRule="auto"/>
        <w:jc w:val="both"/>
        <w:rPr>
          <w:rFonts w:ascii="Arial" w:eastAsia="Times New Roman" w:hAnsi="Arial" w:cs="Arial"/>
          <w:sz w:val="20"/>
          <w:szCs w:val="20"/>
          <w:lang w:eastAsia="es-ES"/>
        </w:rPr>
      </w:pPr>
    </w:p>
    <w:p w:rsidR="00DA62C0" w:rsidRPr="00DA62C0" w:rsidRDefault="00DA62C0" w:rsidP="00DA62C0">
      <w:pPr>
        <w:spacing w:after="0" w:line="240" w:lineRule="auto"/>
        <w:jc w:val="both"/>
        <w:rPr>
          <w:rFonts w:ascii="Arial" w:eastAsia="Times New Roman" w:hAnsi="Arial" w:cs="Arial"/>
          <w:sz w:val="20"/>
          <w:szCs w:val="20"/>
          <w:lang w:eastAsia="es-ES"/>
        </w:rPr>
      </w:pPr>
      <w:r w:rsidRPr="00DA62C0">
        <w:rPr>
          <w:rFonts w:ascii="Arial" w:eastAsia="Times New Roman" w:hAnsi="Arial" w:cs="Arial"/>
          <w:sz w:val="20"/>
          <w:szCs w:val="20"/>
          <w:lang w:eastAsia="es-ES"/>
        </w:rPr>
        <w:t>Con respecto al Programa Presupuestario No.1 Administración y Apoyo, su función está orientada a ofrecer todo el soporte necesario para que la Institución brinde en forma eficiente y eficaz, los productos y servicios que permitan cumplir con la misión institucional, razón por la cual no se define un producto específico derivado de este programa.</w:t>
      </w:r>
    </w:p>
    <w:p w:rsidR="00DA62C0" w:rsidRPr="00DA62C0" w:rsidRDefault="00DA62C0" w:rsidP="00DA62C0">
      <w:pPr>
        <w:spacing w:after="0" w:line="240" w:lineRule="auto"/>
        <w:jc w:val="both"/>
        <w:rPr>
          <w:rFonts w:ascii="Arial" w:eastAsia="Times New Roman" w:hAnsi="Arial" w:cs="Arial"/>
          <w:sz w:val="20"/>
          <w:szCs w:val="20"/>
          <w:lang w:eastAsia="es-ES"/>
        </w:rPr>
      </w:pPr>
    </w:p>
    <w:p w:rsidR="00DA62C0" w:rsidRPr="00DA62C0" w:rsidRDefault="00DA62C0" w:rsidP="00DA62C0">
      <w:pPr>
        <w:spacing w:after="0" w:line="240" w:lineRule="auto"/>
        <w:jc w:val="both"/>
        <w:rPr>
          <w:rFonts w:ascii="Arial" w:eastAsia="Times New Roman" w:hAnsi="Arial" w:cs="Arial"/>
          <w:sz w:val="20"/>
          <w:szCs w:val="20"/>
          <w:lang w:eastAsia="es-ES"/>
        </w:rPr>
      </w:pPr>
      <w:r w:rsidRPr="00DA62C0">
        <w:rPr>
          <w:rFonts w:ascii="Arial" w:eastAsia="Times New Roman" w:hAnsi="Arial" w:cs="Arial"/>
          <w:sz w:val="20"/>
          <w:szCs w:val="20"/>
          <w:lang w:eastAsia="es-ES"/>
        </w:rPr>
        <w:t>Para cada uno de los indicadores, se hará referencia a las actividades realizadas, las limitaciones que han incidido en el porcentaje de realización obtenido. Al igual, se detallarán las medidas correctivas y acciones de mejora</w:t>
      </w:r>
      <w:r w:rsidR="000316DE">
        <w:rPr>
          <w:rFonts w:ascii="Arial" w:eastAsia="Times New Roman" w:hAnsi="Arial" w:cs="Arial"/>
          <w:sz w:val="20"/>
          <w:szCs w:val="20"/>
          <w:lang w:eastAsia="es-ES"/>
        </w:rPr>
        <w:t>s</w:t>
      </w:r>
      <w:r w:rsidRPr="00DA62C0">
        <w:rPr>
          <w:rFonts w:ascii="Arial" w:eastAsia="Times New Roman" w:hAnsi="Arial" w:cs="Arial"/>
          <w:sz w:val="20"/>
          <w:szCs w:val="20"/>
          <w:lang w:eastAsia="es-ES"/>
        </w:rPr>
        <w:t xml:space="preserve"> realizadas y por realizar.</w:t>
      </w:r>
    </w:p>
    <w:p w:rsidR="00DA62C0" w:rsidRPr="00DA62C0" w:rsidRDefault="00DA62C0" w:rsidP="00DA62C0">
      <w:pPr>
        <w:spacing w:after="0" w:line="240" w:lineRule="auto"/>
        <w:jc w:val="both"/>
        <w:rPr>
          <w:rFonts w:ascii="Arial" w:eastAsia="Times New Roman" w:hAnsi="Arial" w:cs="Arial"/>
          <w:sz w:val="20"/>
          <w:szCs w:val="20"/>
          <w:lang w:eastAsia="es-ES"/>
        </w:rPr>
      </w:pPr>
    </w:p>
    <w:p w:rsidR="00DA62C0" w:rsidRPr="00DA62C0" w:rsidRDefault="00DA62C0" w:rsidP="00DA62C0">
      <w:pPr>
        <w:spacing w:after="0" w:line="240" w:lineRule="auto"/>
        <w:jc w:val="both"/>
        <w:rPr>
          <w:rFonts w:ascii="Arial" w:eastAsia="Times New Roman" w:hAnsi="Arial" w:cs="Arial"/>
          <w:sz w:val="20"/>
          <w:szCs w:val="20"/>
          <w:lang w:eastAsia="es-ES"/>
        </w:rPr>
      </w:pPr>
      <w:r w:rsidRPr="00DA62C0">
        <w:rPr>
          <w:rFonts w:ascii="Arial" w:eastAsia="Times New Roman" w:hAnsi="Arial" w:cs="Arial"/>
          <w:sz w:val="20"/>
          <w:szCs w:val="20"/>
          <w:lang w:eastAsia="es-ES"/>
        </w:rPr>
        <w:t xml:space="preserve">Seguidamente en el cuadro 1 se detalla por programa presupuestario, el grado de avance de las metas de todos los indicadores, definidos para el período 2017. </w:t>
      </w:r>
    </w:p>
    <w:p w:rsidR="00DA62C0" w:rsidRPr="00DA62C0" w:rsidRDefault="00DA62C0" w:rsidP="00DA62C0">
      <w:pPr>
        <w:spacing w:after="0" w:line="240" w:lineRule="auto"/>
        <w:jc w:val="both"/>
        <w:rPr>
          <w:rFonts w:ascii="Arial" w:eastAsia="Times New Roman" w:hAnsi="Arial" w:cs="Arial"/>
          <w:sz w:val="20"/>
          <w:szCs w:val="20"/>
          <w:lang w:eastAsia="es-ES"/>
        </w:rPr>
      </w:pPr>
    </w:p>
    <w:p w:rsidR="00DA62C0" w:rsidRDefault="00DA62C0" w:rsidP="00DA62C0">
      <w:pPr>
        <w:spacing w:after="0" w:line="240" w:lineRule="auto"/>
        <w:jc w:val="both"/>
        <w:rPr>
          <w:rFonts w:ascii="Arial" w:hAnsi="Arial" w:cs="Arial"/>
          <w:bCs/>
          <w:lang w:eastAsia="es-CR"/>
        </w:rPr>
      </w:pPr>
      <w:r w:rsidRPr="00DA62C0">
        <w:rPr>
          <w:rFonts w:ascii="Arial" w:eastAsia="Times New Roman" w:hAnsi="Arial" w:cs="Arial"/>
          <w:sz w:val="20"/>
          <w:szCs w:val="20"/>
          <w:lang w:eastAsia="es-ES"/>
        </w:rPr>
        <w:t>Las metas muestran la siguiente información: nivel de ejecución, porcentaje de cumplimiento (anual con respecto a la meta).</w:t>
      </w:r>
    </w:p>
    <w:p w:rsidR="00DA62C0" w:rsidRDefault="00DA62C0" w:rsidP="00DA62C0">
      <w:pPr>
        <w:jc w:val="both"/>
        <w:rPr>
          <w:rFonts w:ascii="Arial" w:hAnsi="Arial" w:cs="Arial"/>
          <w:bCs/>
          <w:lang w:eastAsia="es-CR"/>
        </w:rPr>
      </w:pPr>
    </w:p>
    <w:p w:rsidR="00DA62C0" w:rsidRDefault="00DA62C0" w:rsidP="00DA62C0">
      <w:pPr>
        <w:jc w:val="both"/>
        <w:rPr>
          <w:rFonts w:ascii="Arial" w:hAnsi="Arial" w:cs="Arial"/>
          <w:bCs/>
          <w:lang w:eastAsia="es-CR"/>
        </w:rPr>
      </w:pPr>
    </w:p>
    <w:p w:rsidR="00DA62C0" w:rsidRDefault="00DA62C0">
      <w:pPr>
        <w:rPr>
          <w:rFonts w:ascii="Arial" w:eastAsia="Times New Roman" w:hAnsi="Arial" w:cs="Arial"/>
          <w:sz w:val="20"/>
          <w:szCs w:val="20"/>
          <w:lang w:val="es-ES" w:eastAsia="es-ES"/>
        </w:rPr>
      </w:pPr>
    </w:p>
    <w:p w:rsidR="00A00F2A" w:rsidRDefault="00A00F2A">
      <w:pPr>
        <w:rPr>
          <w:rFonts w:ascii="Arial" w:eastAsia="Times New Roman" w:hAnsi="Arial" w:cs="Arial"/>
          <w:sz w:val="20"/>
          <w:szCs w:val="20"/>
          <w:lang w:val="es-ES" w:eastAsia="es-ES"/>
        </w:rPr>
      </w:pPr>
    </w:p>
    <w:p w:rsidR="00A00F2A" w:rsidRDefault="00A00F2A">
      <w:pPr>
        <w:rPr>
          <w:rFonts w:ascii="Arial" w:eastAsia="Times New Roman" w:hAnsi="Arial" w:cs="Arial"/>
          <w:sz w:val="20"/>
          <w:szCs w:val="20"/>
          <w:lang w:val="es-ES" w:eastAsia="es-ES"/>
        </w:rPr>
      </w:pPr>
    </w:p>
    <w:p w:rsidR="00A00F2A" w:rsidRDefault="00A00F2A">
      <w:pPr>
        <w:rPr>
          <w:rFonts w:ascii="Arial" w:eastAsia="Times New Roman" w:hAnsi="Arial" w:cs="Arial"/>
          <w:sz w:val="20"/>
          <w:szCs w:val="20"/>
          <w:lang w:val="es-ES" w:eastAsia="es-ES"/>
        </w:rPr>
      </w:pPr>
    </w:p>
    <w:p w:rsidR="00A00F2A" w:rsidRDefault="00A00F2A">
      <w:pPr>
        <w:rPr>
          <w:rFonts w:ascii="Arial" w:eastAsia="Times New Roman" w:hAnsi="Arial" w:cs="Arial"/>
          <w:sz w:val="20"/>
          <w:szCs w:val="20"/>
          <w:lang w:val="es-ES" w:eastAsia="es-ES"/>
        </w:rPr>
      </w:pPr>
      <w:bookmarkStart w:id="2" w:name="_GoBack"/>
      <w:bookmarkEnd w:id="2"/>
    </w:p>
    <w:p w:rsidR="00A00F2A" w:rsidRPr="00A00F2A" w:rsidRDefault="00A00F2A" w:rsidP="00A00F2A">
      <w:pPr>
        <w:pStyle w:val="Ttulo2"/>
        <w:keepLines w:val="0"/>
        <w:spacing w:before="240" w:after="60" w:line="240" w:lineRule="auto"/>
        <w:jc w:val="center"/>
        <w:rPr>
          <w:rFonts w:ascii="Arial" w:eastAsia="Times New Roman" w:hAnsi="Arial" w:cs="Times New Roman"/>
          <w:bCs w:val="0"/>
          <w:color w:val="auto"/>
          <w:sz w:val="20"/>
          <w:szCs w:val="20"/>
          <w:lang w:eastAsia="es-ES"/>
        </w:rPr>
      </w:pPr>
      <w:r w:rsidRPr="00A00F2A">
        <w:rPr>
          <w:rFonts w:ascii="Arial" w:eastAsia="Times New Roman" w:hAnsi="Arial" w:cs="Times New Roman"/>
          <w:bCs w:val="0"/>
          <w:color w:val="auto"/>
          <w:sz w:val="20"/>
          <w:szCs w:val="20"/>
          <w:lang w:eastAsia="es-ES"/>
        </w:rPr>
        <w:lastRenderedPageBreak/>
        <w:t>Cuadro 1. Avance de las Metas de acuerdo con el Indicador, por Programa Presupuestario</w:t>
      </w:r>
    </w:p>
    <w:p w:rsidR="00DA62C0" w:rsidRDefault="00DA62C0">
      <w:pPr>
        <w:rPr>
          <w:rFonts w:ascii="Arial" w:eastAsia="Times New Roman" w:hAnsi="Arial" w:cs="Arial"/>
          <w:sz w:val="20"/>
          <w:szCs w:val="20"/>
          <w:lang w:val="es-ES" w:eastAsia="es-ES"/>
        </w:rPr>
      </w:pPr>
      <w:r>
        <w:rPr>
          <w:noProof/>
          <w:lang w:eastAsia="es-CR"/>
        </w:rPr>
        <w:drawing>
          <wp:inline distT="0" distB="0" distL="0" distR="0">
            <wp:extent cx="6210794" cy="7267698"/>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30416" cy="7290659"/>
                    </a:xfrm>
                    <a:prstGeom prst="rect">
                      <a:avLst/>
                    </a:prstGeom>
                    <a:noFill/>
                    <a:ln>
                      <a:noFill/>
                    </a:ln>
                  </pic:spPr>
                </pic:pic>
              </a:graphicData>
            </a:graphic>
          </wp:inline>
        </w:drawing>
      </w:r>
      <w:r>
        <w:rPr>
          <w:rFonts w:ascii="Arial" w:eastAsia="Times New Roman" w:hAnsi="Arial" w:cs="Arial"/>
          <w:sz w:val="20"/>
          <w:szCs w:val="20"/>
          <w:lang w:val="es-ES" w:eastAsia="es-ES"/>
        </w:rPr>
        <w:br w:type="page"/>
      </w:r>
      <w:r>
        <w:rPr>
          <w:noProof/>
          <w:lang w:eastAsia="es-CR"/>
        </w:rPr>
        <w:lastRenderedPageBreak/>
        <w:drawing>
          <wp:inline distT="0" distB="0" distL="0" distR="0">
            <wp:extent cx="6187044" cy="7469580"/>
            <wp:effectExtent l="0" t="0" r="444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4745" cy="7478877"/>
                    </a:xfrm>
                    <a:prstGeom prst="rect">
                      <a:avLst/>
                    </a:prstGeom>
                    <a:noFill/>
                    <a:ln>
                      <a:noFill/>
                    </a:ln>
                  </pic:spPr>
                </pic:pic>
              </a:graphicData>
            </a:graphic>
          </wp:inline>
        </w:drawing>
      </w:r>
    </w:p>
    <w:p w:rsidR="00847782" w:rsidRDefault="00DA62C0">
      <w:pPr>
        <w:rPr>
          <w:rFonts w:ascii="Arial" w:eastAsia="Times New Roman" w:hAnsi="Arial" w:cs="Arial"/>
          <w:sz w:val="20"/>
          <w:szCs w:val="20"/>
          <w:lang w:val="es-ES" w:eastAsia="es-ES"/>
        </w:rPr>
      </w:pPr>
      <w:r>
        <w:rPr>
          <w:noProof/>
          <w:lang w:eastAsia="es-CR"/>
        </w:rPr>
        <w:lastRenderedPageBreak/>
        <w:drawing>
          <wp:inline distT="0" distB="0" distL="0" distR="0">
            <wp:extent cx="6146637" cy="7481455"/>
            <wp:effectExtent l="0" t="0" r="6985" b="571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59075" cy="7496594"/>
                    </a:xfrm>
                    <a:prstGeom prst="rect">
                      <a:avLst/>
                    </a:prstGeom>
                    <a:noFill/>
                    <a:ln>
                      <a:noFill/>
                    </a:ln>
                  </pic:spPr>
                </pic:pic>
              </a:graphicData>
            </a:graphic>
          </wp:inline>
        </w:drawing>
      </w:r>
      <w:r>
        <w:rPr>
          <w:rFonts w:ascii="Arial" w:eastAsia="Times New Roman" w:hAnsi="Arial" w:cs="Arial"/>
          <w:sz w:val="20"/>
          <w:szCs w:val="20"/>
          <w:lang w:val="es-ES" w:eastAsia="es-ES"/>
        </w:rPr>
        <w:br w:type="page"/>
      </w:r>
      <w:r>
        <w:rPr>
          <w:noProof/>
          <w:lang w:eastAsia="es-CR"/>
        </w:rPr>
        <w:lastRenderedPageBreak/>
        <w:drawing>
          <wp:inline distT="0" distB="0" distL="0" distR="0">
            <wp:extent cx="6151105" cy="7398328"/>
            <wp:effectExtent l="0" t="0" r="254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59075" cy="7407915"/>
                    </a:xfrm>
                    <a:prstGeom prst="rect">
                      <a:avLst/>
                    </a:prstGeom>
                    <a:noFill/>
                    <a:ln>
                      <a:noFill/>
                    </a:ln>
                  </pic:spPr>
                </pic:pic>
              </a:graphicData>
            </a:graphic>
          </wp:inline>
        </w:drawing>
      </w:r>
    </w:p>
    <w:p w:rsidR="00DA62C0" w:rsidRDefault="00847782">
      <w:pPr>
        <w:rPr>
          <w:rFonts w:ascii="Arial" w:eastAsia="Times New Roman" w:hAnsi="Arial" w:cs="Arial"/>
          <w:sz w:val="20"/>
          <w:szCs w:val="20"/>
          <w:lang w:val="es-ES" w:eastAsia="es-ES"/>
        </w:rPr>
      </w:pPr>
      <w:r w:rsidRPr="00036BCB">
        <w:rPr>
          <w:noProof/>
          <w:lang w:eastAsia="es-CR"/>
        </w:rPr>
        <w:lastRenderedPageBreak/>
        <w:drawing>
          <wp:anchor distT="0" distB="0" distL="114300" distR="114300" simplePos="0" relativeHeight="251662336" behindDoc="0" locked="0" layoutInCell="1" allowOverlap="1" wp14:anchorId="0F30ECCF" wp14:editId="62F98814">
            <wp:simplePos x="0" y="0"/>
            <wp:positionH relativeFrom="column">
              <wp:posOffset>153035</wp:posOffset>
            </wp:positionH>
            <wp:positionV relativeFrom="paragraph">
              <wp:posOffset>-61595</wp:posOffset>
            </wp:positionV>
            <wp:extent cx="5922010" cy="7506335"/>
            <wp:effectExtent l="0" t="0" r="254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22010" cy="7506335"/>
                    </a:xfrm>
                    <a:prstGeom prst="rect">
                      <a:avLst/>
                    </a:prstGeom>
                    <a:noFill/>
                    <a:ln>
                      <a:noFill/>
                    </a:ln>
                  </pic:spPr>
                </pic:pic>
              </a:graphicData>
            </a:graphic>
            <wp14:sizeRelH relativeFrom="page">
              <wp14:pctWidth>0</wp14:pctWidth>
            </wp14:sizeRelH>
            <wp14:sizeRelV relativeFrom="page">
              <wp14:pctHeight>0</wp14:pctHeight>
            </wp14:sizeRelV>
          </wp:anchor>
        </w:drawing>
      </w:r>
      <w:r w:rsidR="00DA62C0">
        <w:rPr>
          <w:rFonts w:ascii="Arial" w:eastAsia="Times New Roman" w:hAnsi="Arial" w:cs="Arial"/>
          <w:sz w:val="20"/>
          <w:szCs w:val="20"/>
          <w:lang w:val="es-ES" w:eastAsia="es-ES"/>
        </w:rPr>
        <w:br w:type="page"/>
      </w:r>
    </w:p>
    <w:p w:rsidR="00DA62C0" w:rsidRDefault="00DA62C0">
      <w:pPr>
        <w:rPr>
          <w:rFonts w:ascii="Arial" w:eastAsia="Times New Roman" w:hAnsi="Arial" w:cs="Arial"/>
          <w:sz w:val="20"/>
          <w:szCs w:val="20"/>
          <w:lang w:val="es-ES" w:eastAsia="es-ES"/>
        </w:rPr>
      </w:pPr>
      <w:r>
        <w:rPr>
          <w:noProof/>
          <w:lang w:eastAsia="es-CR"/>
        </w:rPr>
        <w:lastRenderedPageBreak/>
        <w:drawing>
          <wp:inline distT="0" distB="0" distL="0" distR="0">
            <wp:extent cx="6197104" cy="7422078"/>
            <wp:effectExtent l="0" t="0" r="0" b="762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06635" cy="7433493"/>
                    </a:xfrm>
                    <a:prstGeom prst="rect">
                      <a:avLst/>
                    </a:prstGeom>
                    <a:noFill/>
                    <a:ln>
                      <a:noFill/>
                    </a:ln>
                  </pic:spPr>
                </pic:pic>
              </a:graphicData>
            </a:graphic>
          </wp:inline>
        </w:drawing>
      </w:r>
    </w:p>
    <w:p w:rsidR="000316DE" w:rsidRDefault="000316DE" w:rsidP="00DA62C0">
      <w:pPr>
        <w:pStyle w:val="Ttulo2"/>
        <w:keepLines w:val="0"/>
        <w:spacing w:before="240" w:after="60" w:line="240" w:lineRule="auto"/>
        <w:rPr>
          <w:rFonts w:ascii="Arial" w:eastAsia="Times New Roman" w:hAnsi="Arial" w:cs="Arial"/>
          <w:color w:val="auto"/>
          <w:sz w:val="20"/>
          <w:szCs w:val="20"/>
          <w:lang w:eastAsia="es-CR"/>
        </w:rPr>
      </w:pPr>
    </w:p>
    <w:p w:rsidR="00DA62C0" w:rsidRPr="00DA62C0" w:rsidRDefault="00DA62C0" w:rsidP="00DA62C0">
      <w:pPr>
        <w:pStyle w:val="Ttulo2"/>
        <w:keepLines w:val="0"/>
        <w:spacing w:before="240" w:after="60" w:line="240" w:lineRule="auto"/>
        <w:rPr>
          <w:rFonts w:ascii="Arial" w:eastAsia="Times New Roman" w:hAnsi="Arial" w:cs="Arial"/>
          <w:color w:val="auto"/>
          <w:sz w:val="20"/>
          <w:szCs w:val="20"/>
          <w:lang w:eastAsia="es-CR"/>
        </w:rPr>
      </w:pPr>
      <w:r w:rsidRPr="00DA62C0">
        <w:rPr>
          <w:rFonts w:ascii="Arial" w:eastAsia="Times New Roman" w:hAnsi="Arial" w:cs="Arial"/>
          <w:color w:val="auto"/>
          <w:sz w:val="20"/>
          <w:szCs w:val="20"/>
          <w:lang w:eastAsia="es-CR"/>
        </w:rPr>
        <w:t>Comportamiento de las Metas Programadas</w:t>
      </w:r>
    </w:p>
    <w:p w:rsidR="00DA62C0" w:rsidRDefault="00DA62C0" w:rsidP="00DA62C0">
      <w:pPr>
        <w:spacing w:after="0" w:line="240" w:lineRule="auto"/>
        <w:jc w:val="both"/>
        <w:rPr>
          <w:rFonts w:ascii="Arial" w:eastAsia="Times New Roman" w:hAnsi="Arial" w:cs="Arial"/>
          <w:bCs/>
          <w:sz w:val="20"/>
          <w:szCs w:val="20"/>
          <w:lang w:eastAsia="es-CR"/>
        </w:rPr>
      </w:pPr>
    </w:p>
    <w:p w:rsidR="00DA62C0" w:rsidRPr="00DA62C0" w:rsidRDefault="00DA62C0" w:rsidP="00DA62C0">
      <w:pPr>
        <w:spacing w:after="0" w:line="240" w:lineRule="auto"/>
        <w:jc w:val="both"/>
        <w:rPr>
          <w:rFonts w:ascii="Arial" w:eastAsia="Times New Roman" w:hAnsi="Arial" w:cs="Arial"/>
          <w:bCs/>
          <w:sz w:val="20"/>
          <w:szCs w:val="20"/>
          <w:lang w:eastAsia="es-CR"/>
        </w:rPr>
      </w:pPr>
      <w:r w:rsidRPr="00DA62C0">
        <w:rPr>
          <w:rFonts w:ascii="Arial" w:eastAsia="Times New Roman" w:hAnsi="Arial" w:cs="Arial"/>
          <w:bCs/>
          <w:sz w:val="20"/>
          <w:szCs w:val="20"/>
          <w:lang w:eastAsia="es-CR"/>
        </w:rPr>
        <w:t>La cantidad de metas programadas en forma anual fue de 51 como se puede observar en el cuadro y gráfico siguiente, donde la meta se cumplió en 18 indicadores (35%), en 15 indicadores (29%) se cumplió en forma parcial y en 18 indicadores (35%) no se cumplió.</w:t>
      </w:r>
    </w:p>
    <w:tbl>
      <w:tblPr>
        <w:tblW w:w="8946" w:type="dxa"/>
        <w:tblInd w:w="55" w:type="dxa"/>
        <w:tblCellMar>
          <w:left w:w="70" w:type="dxa"/>
          <w:right w:w="70" w:type="dxa"/>
        </w:tblCellMar>
        <w:tblLook w:val="04A0" w:firstRow="1" w:lastRow="0" w:firstColumn="1" w:lastColumn="0" w:noHBand="0" w:noVBand="1"/>
      </w:tblPr>
      <w:tblGrid>
        <w:gridCol w:w="7105"/>
        <w:gridCol w:w="1841"/>
      </w:tblGrid>
      <w:tr w:rsidR="00DA62C0" w:rsidRPr="00AF29B9" w:rsidTr="00746DC0">
        <w:trPr>
          <w:trHeight w:val="315"/>
        </w:trPr>
        <w:tc>
          <w:tcPr>
            <w:tcW w:w="8946" w:type="dxa"/>
            <w:gridSpan w:val="2"/>
            <w:tcBorders>
              <w:top w:val="nil"/>
              <w:left w:val="nil"/>
              <w:bottom w:val="nil"/>
              <w:right w:val="nil"/>
            </w:tcBorders>
            <w:shd w:val="clear" w:color="auto" w:fill="auto"/>
            <w:vAlign w:val="bottom"/>
            <w:hideMark/>
          </w:tcPr>
          <w:p w:rsidR="00DA62C0" w:rsidRPr="00DA62C0" w:rsidRDefault="00DA62C0" w:rsidP="00DA62C0">
            <w:pPr>
              <w:spacing w:after="0" w:line="240" w:lineRule="auto"/>
              <w:jc w:val="center"/>
              <w:rPr>
                <w:rFonts w:eastAsia="Times New Roman"/>
                <w:b/>
                <w:bCs/>
                <w:lang w:eastAsia="es-CR"/>
              </w:rPr>
            </w:pPr>
          </w:p>
          <w:p w:rsidR="00DA62C0" w:rsidRPr="00DA62C0" w:rsidRDefault="00DA62C0" w:rsidP="00DA62C0">
            <w:pPr>
              <w:spacing w:after="0" w:line="240" w:lineRule="auto"/>
              <w:jc w:val="center"/>
              <w:rPr>
                <w:rFonts w:eastAsia="Times New Roman"/>
                <w:b/>
                <w:bCs/>
                <w:lang w:eastAsia="es-CR"/>
              </w:rPr>
            </w:pPr>
            <w:r w:rsidRPr="00DA62C0">
              <w:rPr>
                <w:rFonts w:eastAsia="Times New Roman"/>
                <w:b/>
                <w:bCs/>
                <w:lang w:eastAsia="es-CR"/>
              </w:rPr>
              <w:t>Cuadro 2 Comportamiento de las Metas del INVU</w:t>
            </w:r>
            <w:r w:rsidRPr="00DA62C0">
              <w:rPr>
                <w:rFonts w:eastAsia="Times New Roman"/>
                <w:b/>
                <w:bCs/>
                <w:lang w:eastAsia="es-CR"/>
              </w:rPr>
              <w:br/>
              <w:t>Enero - diciembre 2017</w:t>
            </w:r>
          </w:p>
          <w:tbl>
            <w:tblPr>
              <w:tblW w:w="7365" w:type="dxa"/>
              <w:jc w:val="center"/>
              <w:tblCellMar>
                <w:left w:w="70" w:type="dxa"/>
                <w:right w:w="70" w:type="dxa"/>
              </w:tblCellMar>
              <w:tblLook w:val="04A0" w:firstRow="1" w:lastRow="0" w:firstColumn="1" w:lastColumn="0" w:noHBand="0" w:noVBand="1"/>
            </w:tblPr>
            <w:tblGrid>
              <w:gridCol w:w="1400"/>
              <w:gridCol w:w="1419"/>
              <w:gridCol w:w="1200"/>
              <w:gridCol w:w="1386"/>
              <w:gridCol w:w="1960"/>
            </w:tblGrid>
            <w:tr w:rsidR="00DA62C0" w:rsidRPr="00DA62C0" w:rsidTr="00746DC0">
              <w:trPr>
                <w:trHeight w:val="300"/>
                <w:jc w:val="center"/>
              </w:trPr>
              <w:tc>
                <w:tcPr>
                  <w:tcW w:w="140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DA62C0" w:rsidRPr="00DA62C0" w:rsidRDefault="00DA62C0" w:rsidP="00DA62C0">
                  <w:pPr>
                    <w:spacing w:after="0" w:line="240" w:lineRule="auto"/>
                    <w:jc w:val="center"/>
                    <w:rPr>
                      <w:rFonts w:eastAsia="Times New Roman"/>
                      <w:b/>
                      <w:bCs/>
                      <w:lang w:eastAsia="es-CR"/>
                    </w:rPr>
                  </w:pPr>
                  <w:r w:rsidRPr="00DA62C0">
                    <w:rPr>
                      <w:rFonts w:eastAsia="Times New Roman"/>
                      <w:b/>
                      <w:bCs/>
                      <w:lang w:eastAsia="es-CR"/>
                    </w:rPr>
                    <w:t xml:space="preserve">Programas </w:t>
                  </w:r>
                </w:p>
              </w:tc>
              <w:tc>
                <w:tcPr>
                  <w:tcW w:w="5965" w:type="dxa"/>
                  <w:gridSpan w:val="4"/>
                  <w:tcBorders>
                    <w:top w:val="single" w:sz="8" w:space="0" w:color="auto"/>
                    <w:left w:val="nil"/>
                    <w:bottom w:val="single" w:sz="4" w:space="0" w:color="auto"/>
                    <w:right w:val="single" w:sz="8" w:space="0" w:color="000000"/>
                  </w:tcBorders>
                  <w:shd w:val="clear" w:color="auto" w:fill="auto"/>
                  <w:vAlign w:val="bottom"/>
                  <w:hideMark/>
                </w:tcPr>
                <w:p w:rsidR="00DA62C0" w:rsidRPr="00DA62C0" w:rsidRDefault="00DA62C0" w:rsidP="00DA62C0">
                  <w:pPr>
                    <w:spacing w:after="0" w:line="240" w:lineRule="auto"/>
                    <w:jc w:val="center"/>
                    <w:rPr>
                      <w:rFonts w:eastAsia="Times New Roman"/>
                      <w:b/>
                      <w:bCs/>
                      <w:lang w:eastAsia="es-CR"/>
                    </w:rPr>
                  </w:pPr>
                  <w:r w:rsidRPr="00DA62C0">
                    <w:rPr>
                      <w:rFonts w:eastAsia="Times New Roman"/>
                      <w:b/>
                      <w:bCs/>
                      <w:lang w:eastAsia="es-CR"/>
                    </w:rPr>
                    <w:t>Metas</w:t>
                  </w:r>
                </w:p>
              </w:tc>
            </w:tr>
            <w:tr w:rsidR="00DA62C0" w:rsidRPr="00DA62C0" w:rsidTr="00746DC0">
              <w:trPr>
                <w:trHeight w:val="315"/>
                <w:jc w:val="center"/>
              </w:trPr>
              <w:tc>
                <w:tcPr>
                  <w:tcW w:w="1400" w:type="dxa"/>
                  <w:vMerge/>
                  <w:tcBorders>
                    <w:top w:val="single" w:sz="8" w:space="0" w:color="auto"/>
                    <w:left w:val="single" w:sz="8" w:space="0" w:color="auto"/>
                    <w:bottom w:val="single" w:sz="8" w:space="0" w:color="000000"/>
                    <w:right w:val="single" w:sz="4" w:space="0" w:color="auto"/>
                  </w:tcBorders>
                  <w:vAlign w:val="center"/>
                  <w:hideMark/>
                </w:tcPr>
                <w:p w:rsidR="00DA62C0" w:rsidRPr="00DA62C0" w:rsidRDefault="00DA62C0" w:rsidP="00DA62C0">
                  <w:pPr>
                    <w:spacing w:after="0" w:line="240" w:lineRule="auto"/>
                    <w:rPr>
                      <w:rFonts w:eastAsia="Times New Roman"/>
                      <w:b/>
                      <w:bCs/>
                      <w:lang w:eastAsia="es-CR"/>
                    </w:rPr>
                  </w:pPr>
                </w:p>
              </w:tc>
              <w:tc>
                <w:tcPr>
                  <w:tcW w:w="1419" w:type="dxa"/>
                  <w:tcBorders>
                    <w:top w:val="nil"/>
                    <w:left w:val="nil"/>
                    <w:bottom w:val="single" w:sz="8" w:space="0" w:color="auto"/>
                    <w:right w:val="single" w:sz="4" w:space="0" w:color="auto"/>
                  </w:tcBorders>
                  <w:shd w:val="clear" w:color="auto" w:fill="auto"/>
                  <w:vAlign w:val="center"/>
                  <w:hideMark/>
                </w:tcPr>
                <w:p w:rsidR="00DA62C0" w:rsidRPr="00DA62C0" w:rsidRDefault="00DA62C0" w:rsidP="00DA62C0">
                  <w:pPr>
                    <w:spacing w:after="0" w:line="240" w:lineRule="auto"/>
                    <w:jc w:val="center"/>
                    <w:rPr>
                      <w:rFonts w:eastAsia="Times New Roman"/>
                      <w:b/>
                      <w:bCs/>
                      <w:lang w:eastAsia="es-CR"/>
                    </w:rPr>
                  </w:pPr>
                  <w:r w:rsidRPr="00DA62C0">
                    <w:rPr>
                      <w:rFonts w:eastAsia="Times New Roman"/>
                      <w:b/>
                      <w:bCs/>
                      <w:lang w:eastAsia="es-CR"/>
                    </w:rPr>
                    <w:t>Programadas</w:t>
                  </w:r>
                </w:p>
              </w:tc>
              <w:tc>
                <w:tcPr>
                  <w:tcW w:w="1200" w:type="dxa"/>
                  <w:tcBorders>
                    <w:top w:val="nil"/>
                    <w:left w:val="nil"/>
                    <w:bottom w:val="single" w:sz="8" w:space="0" w:color="auto"/>
                    <w:right w:val="single" w:sz="4" w:space="0" w:color="auto"/>
                  </w:tcBorders>
                  <w:shd w:val="clear" w:color="auto" w:fill="auto"/>
                  <w:vAlign w:val="center"/>
                  <w:hideMark/>
                </w:tcPr>
                <w:p w:rsidR="00DA62C0" w:rsidRPr="00DA62C0" w:rsidRDefault="00DA62C0" w:rsidP="00DA62C0">
                  <w:pPr>
                    <w:spacing w:after="0" w:line="240" w:lineRule="auto"/>
                    <w:jc w:val="center"/>
                    <w:rPr>
                      <w:rFonts w:eastAsia="Times New Roman"/>
                      <w:b/>
                      <w:bCs/>
                      <w:lang w:eastAsia="es-CR"/>
                    </w:rPr>
                  </w:pPr>
                  <w:r w:rsidRPr="00DA62C0">
                    <w:rPr>
                      <w:rFonts w:eastAsia="Times New Roman"/>
                      <w:b/>
                      <w:bCs/>
                      <w:lang w:eastAsia="es-CR"/>
                    </w:rPr>
                    <w:t>Cumplidas</w:t>
                  </w:r>
                </w:p>
              </w:tc>
              <w:tc>
                <w:tcPr>
                  <w:tcW w:w="1386" w:type="dxa"/>
                  <w:tcBorders>
                    <w:top w:val="nil"/>
                    <w:left w:val="nil"/>
                    <w:bottom w:val="single" w:sz="8" w:space="0" w:color="auto"/>
                    <w:right w:val="single" w:sz="4" w:space="0" w:color="auto"/>
                  </w:tcBorders>
                  <w:shd w:val="clear" w:color="auto" w:fill="auto"/>
                  <w:vAlign w:val="center"/>
                  <w:hideMark/>
                </w:tcPr>
                <w:p w:rsidR="00DA62C0" w:rsidRPr="00DA62C0" w:rsidRDefault="00DA62C0" w:rsidP="00DA62C0">
                  <w:pPr>
                    <w:spacing w:after="0" w:line="240" w:lineRule="auto"/>
                    <w:jc w:val="center"/>
                    <w:rPr>
                      <w:rFonts w:eastAsia="Times New Roman"/>
                      <w:b/>
                      <w:bCs/>
                      <w:lang w:eastAsia="es-CR"/>
                    </w:rPr>
                  </w:pPr>
                  <w:r w:rsidRPr="00DA62C0">
                    <w:rPr>
                      <w:rFonts w:eastAsia="Times New Roman"/>
                      <w:b/>
                      <w:bCs/>
                      <w:lang w:eastAsia="es-CR"/>
                    </w:rPr>
                    <w:t>Parcialmente</w:t>
                  </w:r>
                  <w:r w:rsidRPr="00DA62C0">
                    <w:rPr>
                      <w:rFonts w:eastAsia="Times New Roman"/>
                      <w:b/>
                      <w:bCs/>
                      <w:lang w:eastAsia="es-CR"/>
                    </w:rPr>
                    <w:br/>
                    <w:t xml:space="preserve"> Cumplidas</w:t>
                  </w:r>
                </w:p>
              </w:tc>
              <w:tc>
                <w:tcPr>
                  <w:tcW w:w="1960" w:type="dxa"/>
                  <w:tcBorders>
                    <w:top w:val="nil"/>
                    <w:left w:val="nil"/>
                    <w:bottom w:val="single" w:sz="8" w:space="0" w:color="auto"/>
                    <w:right w:val="single" w:sz="8" w:space="0" w:color="auto"/>
                  </w:tcBorders>
                  <w:shd w:val="clear" w:color="auto" w:fill="auto"/>
                  <w:vAlign w:val="center"/>
                  <w:hideMark/>
                </w:tcPr>
                <w:p w:rsidR="00DA62C0" w:rsidRPr="00DA62C0" w:rsidRDefault="00DA62C0" w:rsidP="00DA62C0">
                  <w:pPr>
                    <w:spacing w:after="0" w:line="240" w:lineRule="auto"/>
                    <w:jc w:val="center"/>
                    <w:rPr>
                      <w:rFonts w:eastAsia="Times New Roman"/>
                      <w:b/>
                      <w:bCs/>
                      <w:lang w:eastAsia="es-CR"/>
                    </w:rPr>
                  </w:pPr>
                  <w:r w:rsidRPr="00DA62C0">
                    <w:rPr>
                      <w:rFonts w:eastAsia="Times New Roman"/>
                      <w:b/>
                      <w:bCs/>
                      <w:lang w:eastAsia="es-CR"/>
                    </w:rPr>
                    <w:t>Incumplidas</w:t>
                  </w:r>
                </w:p>
              </w:tc>
            </w:tr>
            <w:tr w:rsidR="00DA62C0" w:rsidRPr="00DA62C0" w:rsidTr="00746DC0">
              <w:trPr>
                <w:trHeight w:val="300"/>
                <w:jc w:val="center"/>
              </w:trPr>
              <w:tc>
                <w:tcPr>
                  <w:tcW w:w="1400" w:type="dxa"/>
                  <w:tcBorders>
                    <w:top w:val="nil"/>
                    <w:left w:val="single" w:sz="8" w:space="0" w:color="auto"/>
                    <w:bottom w:val="single" w:sz="4" w:space="0" w:color="auto"/>
                    <w:right w:val="single" w:sz="4" w:space="0" w:color="auto"/>
                  </w:tcBorders>
                  <w:shd w:val="clear" w:color="auto" w:fill="auto"/>
                  <w:vAlign w:val="bottom"/>
                  <w:hideMark/>
                </w:tcPr>
                <w:p w:rsidR="00DA62C0" w:rsidRPr="00DA62C0" w:rsidRDefault="00DA62C0" w:rsidP="00DA62C0">
                  <w:pPr>
                    <w:spacing w:after="0" w:line="240" w:lineRule="auto"/>
                    <w:jc w:val="center"/>
                    <w:rPr>
                      <w:rFonts w:eastAsia="Times New Roman"/>
                      <w:b/>
                      <w:bCs/>
                      <w:lang w:eastAsia="es-CR"/>
                    </w:rPr>
                  </w:pPr>
                  <w:r w:rsidRPr="00DA62C0">
                    <w:rPr>
                      <w:rFonts w:eastAsia="Times New Roman"/>
                      <w:b/>
                      <w:bCs/>
                      <w:lang w:eastAsia="es-CR"/>
                    </w:rPr>
                    <w:t>Programa I</w:t>
                  </w:r>
                </w:p>
              </w:tc>
              <w:tc>
                <w:tcPr>
                  <w:tcW w:w="1419" w:type="dxa"/>
                  <w:tcBorders>
                    <w:top w:val="nil"/>
                    <w:left w:val="nil"/>
                    <w:bottom w:val="single" w:sz="4" w:space="0" w:color="auto"/>
                    <w:right w:val="single" w:sz="4" w:space="0" w:color="auto"/>
                  </w:tcBorders>
                  <w:shd w:val="clear" w:color="auto" w:fill="auto"/>
                  <w:vAlign w:val="center"/>
                </w:tcPr>
                <w:p w:rsidR="00DA62C0" w:rsidRPr="001E2626" w:rsidRDefault="00DA62C0" w:rsidP="00DA62C0">
                  <w:pPr>
                    <w:spacing w:after="0" w:line="240" w:lineRule="auto"/>
                    <w:jc w:val="center"/>
                    <w:rPr>
                      <w:rFonts w:eastAsia="Times New Roman"/>
                      <w:bCs/>
                      <w:lang w:eastAsia="es-CR"/>
                    </w:rPr>
                  </w:pPr>
                  <w:r w:rsidRPr="001E2626">
                    <w:rPr>
                      <w:rFonts w:eastAsia="Times New Roman"/>
                      <w:bCs/>
                      <w:lang w:eastAsia="es-CR"/>
                    </w:rPr>
                    <w:t>9</w:t>
                  </w:r>
                </w:p>
              </w:tc>
              <w:tc>
                <w:tcPr>
                  <w:tcW w:w="1200" w:type="dxa"/>
                  <w:tcBorders>
                    <w:top w:val="nil"/>
                    <w:left w:val="nil"/>
                    <w:bottom w:val="single" w:sz="4" w:space="0" w:color="auto"/>
                    <w:right w:val="single" w:sz="4" w:space="0" w:color="auto"/>
                  </w:tcBorders>
                  <w:shd w:val="clear" w:color="auto" w:fill="auto"/>
                  <w:vAlign w:val="center"/>
                </w:tcPr>
                <w:p w:rsidR="00DA62C0" w:rsidRPr="001E2626" w:rsidRDefault="00DA62C0" w:rsidP="00DA62C0">
                  <w:pPr>
                    <w:spacing w:after="0" w:line="240" w:lineRule="auto"/>
                    <w:jc w:val="center"/>
                    <w:rPr>
                      <w:rFonts w:eastAsia="Times New Roman"/>
                      <w:bCs/>
                      <w:lang w:eastAsia="es-CR"/>
                    </w:rPr>
                  </w:pPr>
                  <w:r w:rsidRPr="001E2626">
                    <w:rPr>
                      <w:rFonts w:eastAsia="Times New Roman"/>
                      <w:bCs/>
                      <w:lang w:eastAsia="es-CR"/>
                    </w:rPr>
                    <w:t>5</w:t>
                  </w:r>
                </w:p>
              </w:tc>
              <w:tc>
                <w:tcPr>
                  <w:tcW w:w="1386" w:type="dxa"/>
                  <w:tcBorders>
                    <w:top w:val="nil"/>
                    <w:left w:val="nil"/>
                    <w:bottom w:val="single" w:sz="4" w:space="0" w:color="auto"/>
                    <w:right w:val="single" w:sz="4" w:space="0" w:color="auto"/>
                  </w:tcBorders>
                  <w:shd w:val="clear" w:color="auto" w:fill="auto"/>
                  <w:vAlign w:val="center"/>
                </w:tcPr>
                <w:p w:rsidR="00DA62C0" w:rsidRPr="001E2626" w:rsidRDefault="00DA62C0" w:rsidP="00DA62C0">
                  <w:pPr>
                    <w:spacing w:after="0" w:line="240" w:lineRule="auto"/>
                    <w:jc w:val="center"/>
                    <w:rPr>
                      <w:rFonts w:eastAsia="Times New Roman"/>
                      <w:bCs/>
                      <w:lang w:eastAsia="es-CR"/>
                    </w:rPr>
                  </w:pPr>
                  <w:r w:rsidRPr="001E2626">
                    <w:rPr>
                      <w:rFonts w:eastAsia="Times New Roman"/>
                      <w:bCs/>
                      <w:lang w:eastAsia="es-CR"/>
                    </w:rPr>
                    <w:t>1</w:t>
                  </w:r>
                </w:p>
              </w:tc>
              <w:tc>
                <w:tcPr>
                  <w:tcW w:w="1960" w:type="dxa"/>
                  <w:tcBorders>
                    <w:top w:val="nil"/>
                    <w:left w:val="nil"/>
                    <w:bottom w:val="single" w:sz="4" w:space="0" w:color="auto"/>
                    <w:right w:val="single" w:sz="8" w:space="0" w:color="auto"/>
                  </w:tcBorders>
                  <w:shd w:val="clear" w:color="auto" w:fill="auto"/>
                  <w:vAlign w:val="center"/>
                </w:tcPr>
                <w:p w:rsidR="00DA62C0" w:rsidRPr="001E2626" w:rsidRDefault="00DA62C0" w:rsidP="00DA62C0">
                  <w:pPr>
                    <w:spacing w:after="0" w:line="240" w:lineRule="auto"/>
                    <w:jc w:val="center"/>
                    <w:rPr>
                      <w:rFonts w:eastAsia="Times New Roman"/>
                      <w:bCs/>
                      <w:lang w:eastAsia="es-CR"/>
                    </w:rPr>
                  </w:pPr>
                  <w:r w:rsidRPr="001E2626">
                    <w:rPr>
                      <w:rFonts w:eastAsia="Times New Roman"/>
                      <w:bCs/>
                      <w:lang w:eastAsia="es-CR"/>
                    </w:rPr>
                    <w:t>3</w:t>
                  </w:r>
                </w:p>
              </w:tc>
            </w:tr>
            <w:tr w:rsidR="00DA62C0" w:rsidRPr="00DA62C0" w:rsidTr="00746DC0">
              <w:trPr>
                <w:trHeight w:val="300"/>
                <w:jc w:val="center"/>
              </w:trPr>
              <w:tc>
                <w:tcPr>
                  <w:tcW w:w="1400" w:type="dxa"/>
                  <w:tcBorders>
                    <w:top w:val="nil"/>
                    <w:left w:val="single" w:sz="8" w:space="0" w:color="auto"/>
                    <w:bottom w:val="single" w:sz="4" w:space="0" w:color="auto"/>
                    <w:right w:val="single" w:sz="4" w:space="0" w:color="auto"/>
                  </w:tcBorders>
                  <w:shd w:val="clear" w:color="auto" w:fill="auto"/>
                  <w:vAlign w:val="bottom"/>
                  <w:hideMark/>
                </w:tcPr>
                <w:p w:rsidR="00DA62C0" w:rsidRPr="00DA62C0" w:rsidRDefault="00DA62C0" w:rsidP="00DA62C0">
                  <w:pPr>
                    <w:spacing w:after="0" w:line="240" w:lineRule="auto"/>
                    <w:jc w:val="center"/>
                    <w:rPr>
                      <w:rFonts w:eastAsia="Times New Roman"/>
                      <w:b/>
                      <w:bCs/>
                      <w:lang w:eastAsia="es-CR"/>
                    </w:rPr>
                  </w:pPr>
                  <w:r w:rsidRPr="00DA62C0">
                    <w:rPr>
                      <w:rFonts w:eastAsia="Times New Roman"/>
                      <w:b/>
                      <w:bCs/>
                      <w:lang w:eastAsia="es-CR"/>
                    </w:rPr>
                    <w:t>Programa II</w:t>
                  </w:r>
                </w:p>
              </w:tc>
              <w:tc>
                <w:tcPr>
                  <w:tcW w:w="1419" w:type="dxa"/>
                  <w:tcBorders>
                    <w:top w:val="nil"/>
                    <w:left w:val="nil"/>
                    <w:bottom w:val="single" w:sz="4" w:space="0" w:color="auto"/>
                    <w:right w:val="single" w:sz="4" w:space="0" w:color="auto"/>
                  </w:tcBorders>
                  <w:shd w:val="clear" w:color="auto" w:fill="auto"/>
                  <w:vAlign w:val="center"/>
                </w:tcPr>
                <w:p w:rsidR="00DA62C0" w:rsidRPr="001E2626" w:rsidRDefault="00DA62C0" w:rsidP="00DA62C0">
                  <w:pPr>
                    <w:spacing w:after="0" w:line="240" w:lineRule="auto"/>
                    <w:jc w:val="center"/>
                    <w:rPr>
                      <w:rFonts w:eastAsia="Times New Roman"/>
                      <w:bCs/>
                      <w:lang w:eastAsia="es-CR"/>
                    </w:rPr>
                  </w:pPr>
                  <w:r w:rsidRPr="001E2626">
                    <w:rPr>
                      <w:rFonts w:eastAsia="Times New Roman"/>
                      <w:bCs/>
                      <w:lang w:eastAsia="es-CR"/>
                    </w:rPr>
                    <w:t>9</w:t>
                  </w:r>
                </w:p>
              </w:tc>
              <w:tc>
                <w:tcPr>
                  <w:tcW w:w="1200" w:type="dxa"/>
                  <w:tcBorders>
                    <w:top w:val="nil"/>
                    <w:left w:val="nil"/>
                    <w:bottom w:val="single" w:sz="4" w:space="0" w:color="auto"/>
                    <w:right w:val="single" w:sz="4" w:space="0" w:color="auto"/>
                  </w:tcBorders>
                  <w:shd w:val="clear" w:color="auto" w:fill="auto"/>
                  <w:vAlign w:val="center"/>
                </w:tcPr>
                <w:p w:rsidR="00DA62C0" w:rsidRPr="001E2626" w:rsidRDefault="00DA62C0" w:rsidP="00DA62C0">
                  <w:pPr>
                    <w:spacing w:after="0" w:line="240" w:lineRule="auto"/>
                    <w:jc w:val="center"/>
                    <w:rPr>
                      <w:rFonts w:eastAsia="Times New Roman"/>
                      <w:bCs/>
                      <w:lang w:eastAsia="es-CR"/>
                    </w:rPr>
                  </w:pPr>
                  <w:r w:rsidRPr="001E2626">
                    <w:rPr>
                      <w:rFonts w:eastAsia="Times New Roman"/>
                      <w:bCs/>
                      <w:lang w:eastAsia="es-CR"/>
                    </w:rPr>
                    <w:t>6</w:t>
                  </w:r>
                </w:p>
              </w:tc>
              <w:tc>
                <w:tcPr>
                  <w:tcW w:w="1386" w:type="dxa"/>
                  <w:tcBorders>
                    <w:top w:val="nil"/>
                    <w:left w:val="nil"/>
                    <w:bottom w:val="single" w:sz="4" w:space="0" w:color="auto"/>
                    <w:right w:val="single" w:sz="4" w:space="0" w:color="auto"/>
                  </w:tcBorders>
                  <w:shd w:val="clear" w:color="auto" w:fill="auto"/>
                  <w:vAlign w:val="center"/>
                </w:tcPr>
                <w:p w:rsidR="00DA62C0" w:rsidRPr="001E2626" w:rsidRDefault="00DA62C0" w:rsidP="00DA62C0">
                  <w:pPr>
                    <w:spacing w:after="0" w:line="240" w:lineRule="auto"/>
                    <w:jc w:val="center"/>
                    <w:rPr>
                      <w:rFonts w:eastAsia="Times New Roman"/>
                      <w:bCs/>
                      <w:lang w:eastAsia="es-CR"/>
                    </w:rPr>
                  </w:pPr>
                  <w:r w:rsidRPr="001E2626">
                    <w:rPr>
                      <w:rFonts w:eastAsia="Times New Roman"/>
                      <w:bCs/>
                      <w:lang w:eastAsia="es-CR"/>
                    </w:rPr>
                    <w:t>3</w:t>
                  </w:r>
                </w:p>
              </w:tc>
              <w:tc>
                <w:tcPr>
                  <w:tcW w:w="1960" w:type="dxa"/>
                  <w:tcBorders>
                    <w:top w:val="nil"/>
                    <w:left w:val="nil"/>
                    <w:bottom w:val="single" w:sz="4" w:space="0" w:color="auto"/>
                    <w:right w:val="single" w:sz="8" w:space="0" w:color="auto"/>
                  </w:tcBorders>
                  <w:shd w:val="clear" w:color="auto" w:fill="auto"/>
                  <w:vAlign w:val="center"/>
                </w:tcPr>
                <w:p w:rsidR="00DA62C0" w:rsidRPr="001E2626" w:rsidRDefault="00DA62C0" w:rsidP="00DA62C0">
                  <w:pPr>
                    <w:spacing w:after="0" w:line="240" w:lineRule="auto"/>
                    <w:jc w:val="center"/>
                    <w:rPr>
                      <w:rFonts w:eastAsia="Times New Roman"/>
                      <w:bCs/>
                      <w:lang w:eastAsia="es-CR"/>
                    </w:rPr>
                  </w:pPr>
                  <w:r w:rsidRPr="001E2626">
                    <w:rPr>
                      <w:rFonts w:eastAsia="Times New Roman"/>
                      <w:bCs/>
                      <w:lang w:eastAsia="es-CR"/>
                    </w:rPr>
                    <w:t> </w:t>
                  </w:r>
                </w:p>
              </w:tc>
            </w:tr>
            <w:tr w:rsidR="00DA62C0" w:rsidRPr="00DA62C0" w:rsidTr="00746DC0">
              <w:trPr>
                <w:trHeight w:val="300"/>
                <w:jc w:val="center"/>
              </w:trPr>
              <w:tc>
                <w:tcPr>
                  <w:tcW w:w="1400" w:type="dxa"/>
                  <w:tcBorders>
                    <w:top w:val="nil"/>
                    <w:left w:val="single" w:sz="8" w:space="0" w:color="auto"/>
                    <w:bottom w:val="single" w:sz="4" w:space="0" w:color="auto"/>
                    <w:right w:val="single" w:sz="4" w:space="0" w:color="auto"/>
                  </w:tcBorders>
                  <w:shd w:val="clear" w:color="auto" w:fill="auto"/>
                  <w:vAlign w:val="bottom"/>
                  <w:hideMark/>
                </w:tcPr>
                <w:p w:rsidR="00DA62C0" w:rsidRPr="00DA62C0" w:rsidRDefault="00DA62C0" w:rsidP="00DA62C0">
                  <w:pPr>
                    <w:spacing w:after="0" w:line="240" w:lineRule="auto"/>
                    <w:jc w:val="center"/>
                    <w:rPr>
                      <w:rFonts w:eastAsia="Times New Roman"/>
                      <w:b/>
                      <w:bCs/>
                      <w:lang w:eastAsia="es-CR"/>
                    </w:rPr>
                  </w:pPr>
                  <w:r w:rsidRPr="00DA62C0">
                    <w:rPr>
                      <w:rFonts w:eastAsia="Times New Roman"/>
                      <w:b/>
                      <w:bCs/>
                      <w:lang w:eastAsia="es-CR"/>
                    </w:rPr>
                    <w:t>Programa III</w:t>
                  </w:r>
                </w:p>
              </w:tc>
              <w:tc>
                <w:tcPr>
                  <w:tcW w:w="1419" w:type="dxa"/>
                  <w:tcBorders>
                    <w:top w:val="nil"/>
                    <w:left w:val="nil"/>
                    <w:bottom w:val="single" w:sz="4" w:space="0" w:color="auto"/>
                    <w:right w:val="single" w:sz="4" w:space="0" w:color="auto"/>
                  </w:tcBorders>
                  <w:shd w:val="clear" w:color="auto" w:fill="auto"/>
                  <w:vAlign w:val="center"/>
                </w:tcPr>
                <w:p w:rsidR="00DA62C0" w:rsidRPr="001E2626" w:rsidRDefault="00DA62C0" w:rsidP="00DA62C0">
                  <w:pPr>
                    <w:spacing w:after="0" w:line="240" w:lineRule="auto"/>
                    <w:jc w:val="center"/>
                    <w:rPr>
                      <w:rFonts w:eastAsia="Times New Roman"/>
                      <w:bCs/>
                      <w:lang w:eastAsia="es-CR"/>
                    </w:rPr>
                  </w:pPr>
                  <w:r w:rsidRPr="001E2626">
                    <w:rPr>
                      <w:rFonts w:eastAsia="Times New Roman"/>
                      <w:bCs/>
                      <w:lang w:eastAsia="es-CR"/>
                    </w:rPr>
                    <w:t>25</w:t>
                  </w:r>
                </w:p>
              </w:tc>
              <w:tc>
                <w:tcPr>
                  <w:tcW w:w="1200" w:type="dxa"/>
                  <w:tcBorders>
                    <w:top w:val="nil"/>
                    <w:left w:val="nil"/>
                    <w:bottom w:val="single" w:sz="4" w:space="0" w:color="auto"/>
                    <w:right w:val="single" w:sz="4" w:space="0" w:color="auto"/>
                  </w:tcBorders>
                  <w:shd w:val="clear" w:color="auto" w:fill="auto"/>
                  <w:vAlign w:val="center"/>
                </w:tcPr>
                <w:p w:rsidR="00DA62C0" w:rsidRPr="001E2626" w:rsidRDefault="00DA62C0" w:rsidP="00DA62C0">
                  <w:pPr>
                    <w:spacing w:after="0" w:line="240" w:lineRule="auto"/>
                    <w:jc w:val="center"/>
                    <w:rPr>
                      <w:rFonts w:eastAsia="Times New Roman"/>
                      <w:bCs/>
                      <w:lang w:eastAsia="es-CR"/>
                    </w:rPr>
                  </w:pPr>
                  <w:r w:rsidRPr="001E2626">
                    <w:rPr>
                      <w:rFonts w:eastAsia="Times New Roman"/>
                      <w:bCs/>
                      <w:lang w:eastAsia="es-CR"/>
                    </w:rPr>
                    <w:t>4</w:t>
                  </w:r>
                </w:p>
              </w:tc>
              <w:tc>
                <w:tcPr>
                  <w:tcW w:w="1386" w:type="dxa"/>
                  <w:tcBorders>
                    <w:top w:val="nil"/>
                    <w:left w:val="nil"/>
                    <w:bottom w:val="single" w:sz="4" w:space="0" w:color="auto"/>
                    <w:right w:val="single" w:sz="4" w:space="0" w:color="auto"/>
                  </w:tcBorders>
                  <w:shd w:val="clear" w:color="auto" w:fill="auto"/>
                  <w:vAlign w:val="center"/>
                </w:tcPr>
                <w:p w:rsidR="00DA62C0" w:rsidRPr="001E2626" w:rsidRDefault="00DA62C0" w:rsidP="00DA62C0">
                  <w:pPr>
                    <w:spacing w:after="0" w:line="240" w:lineRule="auto"/>
                    <w:jc w:val="center"/>
                    <w:rPr>
                      <w:rFonts w:eastAsia="Times New Roman"/>
                      <w:bCs/>
                      <w:lang w:eastAsia="es-CR"/>
                    </w:rPr>
                  </w:pPr>
                  <w:r w:rsidRPr="001E2626">
                    <w:rPr>
                      <w:rFonts w:eastAsia="Times New Roman"/>
                      <w:bCs/>
                      <w:lang w:eastAsia="es-CR"/>
                    </w:rPr>
                    <w:t>7</w:t>
                  </w:r>
                </w:p>
              </w:tc>
              <w:tc>
                <w:tcPr>
                  <w:tcW w:w="1960" w:type="dxa"/>
                  <w:tcBorders>
                    <w:top w:val="nil"/>
                    <w:left w:val="nil"/>
                    <w:bottom w:val="single" w:sz="4" w:space="0" w:color="auto"/>
                    <w:right w:val="single" w:sz="8" w:space="0" w:color="auto"/>
                  </w:tcBorders>
                  <w:shd w:val="clear" w:color="auto" w:fill="auto"/>
                  <w:vAlign w:val="center"/>
                </w:tcPr>
                <w:p w:rsidR="00DA62C0" w:rsidRPr="001E2626" w:rsidRDefault="00DA62C0" w:rsidP="00DA62C0">
                  <w:pPr>
                    <w:spacing w:after="0" w:line="240" w:lineRule="auto"/>
                    <w:jc w:val="center"/>
                    <w:rPr>
                      <w:rFonts w:eastAsia="Times New Roman"/>
                      <w:bCs/>
                      <w:lang w:eastAsia="es-CR"/>
                    </w:rPr>
                  </w:pPr>
                  <w:r w:rsidRPr="001E2626">
                    <w:rPr>
                      <w:rFonts w:eastAsia="Times New Roman"/>
                      <w:bCs/>
                      <w:lang w:eastAsia="es-CR"/>
                    </w:rPr>
                    <w:t>14</w:t>
                  </w:r>
                </w:p>
              </w:tc>
            </w:tr>
            <w:tr w:rsidR="00DA62C0" w:rsidRPr="00DA62C0" w:rsidTr="00746DC0">
              <w:trPr>
                <w:trHeight w:val="315"/>
                <w:jc w:val="center"/>
              </w:trPr>
              <w:tc>
                <w:tcPr>
                  <w:tcW w:w="1400" w:type="dxa"/>
                  <w:tcBorders>
                    <w:top w:val="nil"/>
                    <w:left w:val="single" w:sz="8" w:space="0" w:color="auto"/>
                    <w:bottom w:val="nil"/>
                    <w:right w:val="single" w:sz="4" w:space="0" w:color="auto"/>
                  </w:tcBorders>
                  <w:shd w:val="clear" w:color="auto" w:fill="auto"/>
                  <w:vAlign w:val="bottom"/>
                  <w:hideMark/>
                </w:tcPr>
                <w:p w:rsidR="00DA62C0" w:rsidRPr="00DA62C0" w:rsidRDefault="00DA62C0" w:rsidP="00DA62C0">
                  <w:pPr>
                    <w:spacing w:after="0" w:line="240" w:lineRule="auto"/>
                    <w:jc w:val="center"/>
                    <w:rPr>
                      <w:rFonts w:eastAsia="Times New Roman"/>
                      <w:b/>
                      <w:bCs/>
                      <w:lang w:eastAsia="es-CR"/>
                    </w:rPr>
                  </w:pPr>
                  <w:r w:rsidRPr="00DA62C0">
                    <w:rPr>
                      <w:rFonts w:eastAsia="Times New Roman"/>
                      <w:b/>
                      <w:bCs/>
                      <w:lang w:eastAsia="es-CR"/>
                    </w:rPr>
                    <w:t>Programa IV</w:t>
                  </w:r>
                </w:p>
              </w:tc>
              <w:tc>
                <w:tcPr>
                  <w:tcW w:w="1419" w:type="dxa"/>
                  <w:tcBorders>
                    <w:top w:val="nil"/>
                    <w:left w:val="nil"/>
                    <w:bottom w:val="nil"/>
                    <w:right w:val="single" w:sz="4" w:space="0" w:color="auto"/>
                  </w:tcBorders>
                  <w:shd w:val="clear" w:color="auto" w:fill="auto"/>
                  <w:noWrap/>
                  <w:vAlign w:val="center"/>
                </w:tcPr>
                <w:p w:rsidR="00DA62C0" w:rsidRPr="001E2626" w:rsidRDefault="00DA62C0" w:rsidP="00DA62C0">
                  <w:pPr>
                    <w:spacing w:after="0" w:line="240" w:lineRule="auto"/>
                    <w:jc w:val="center"/>
                    <w:rPr>
                      <w:rFonts w:eastAsia="Times New Roman"/>
                      <w:bCs/>
                      <w:lang w:eastAsia="es-CR"/>
                    </w:rPr>
                  </w:pPr>
                  <w:r w:rsidRPr="001E2626">
                    <w:rPr>
                      <w:rFonts w:eastAsia="Times New Roman"/>
                      <w:bCs/>
                      <w:lang w:eastAsia="es-CR"/>
                    </w:rPr>
                    <w:t>8</w:t>
                  </w:r>
                </w:p>
              </w:tc>
              <w:tc>
                <w:tcPr>
                  <w:tcW w:w="1200" w:type="dxa"/>
                  <w:tcBorders>
                    <w:top w:val="nil"/>
                    <w:left w:val="nil"/>
                    <w:bottom w:val="nil"/>
                    <w:right w:val="single" w:sz="4" w:space="0" w:color="auto"/>
                  </w:tcBorders>
                  <w:shd w:val="clear" w:color="auto" w:fill="auto"/>
                  <w:noWrap/>
                  <w:vAlign w:val="bottom"/>
                </w:tcPr>
                <w:p w:rsidR="00DA62C0" w:rsidRPr="001E2626" w:rsidRDefault="00DA62C0" w:rsidP="00DA62C0">
                  <w:pPr>
                    <w:spacing w:after="0" w:line="240" w:lineRule="auto"/>
                    <w:jc w:val="center"/>
                    <w:rPr>
                      <w:rFonts w:eastAsia="Times New Roman"/>
                      <w:bCs/>
                      <w:lang w:eastAsia="es-CR"/>
                    </w:rPr>
                  </w:pPr>
                  <w:r w:rsidRPr="001E2626">
                    <w:rPr>
                      <w:rFonts w:eastAsia="Times New Roman"/>
                      <w:bCs/>
                      <w:lang w:eastAsia="es-CR"/>
                    </w:rPr>
                    <w:t>3</w:t>
                  </w:r>
                </w:p>
              </w:tc>
              <w:tc>
                <w:tcPr>
                  <w:tcW w:w="1386" w:type="dxa"/>
                  <w:tcBorders>
                    <w:top w:val="nil"/>
                    <w:left w:val="nil"/>
                    <w:bottom w:val="nil"/>
                    <w:right w:val="single" w:sz="4" w:space="0" w:color="auto"/>
                  </w:tcBorders>
                  <w:shd w:val="clear" w:color="auto" w:fill="auto"/>
                  <w:noWrap/>
                  <w:vAlign w:val="bottom"/>
                </w:tcPr>
                <w:p w:rsidR="00DA62C0" w:rsidRPr="001E2626" w:rsidRDefault="00DA62C0" w:rsidP="00DA62C0">
                  <w:pPr>
                    <w:spacing w:after="0" w:line="240" w:lineRule="auto"/>
                    <w:jc w:val="center"/>
                    <w:rPr>
                      <w:rFonts w:eastAsia="Times New Roman"/>
                      <w:bCs/>
                      <w:lang w:eastAsia="es-CR"/>
                    </w:rPr>
                  </w:pPr>
                  <w:r w:rsidRPr="001E2626">
                    <w:rPr>
                      <w:rFonts w:eastAsia="Times New Roman"/>
                      <w:bCs/>
                      <w:lang w:eastAsia="es-CR"/>
                    </w:rPr>
                    <w:t>4</w:t>
                  </w:r>
                </w:p>
              </w:tc>
              <w:tc>
                <w:tcPr>
                  <w:tcW w:w="1960" w:type="dxa"/>
                  <w:tcBorders>
                    <w:top w:val="nil"/>
                    <w:left w:val="nil"/>
                    <w:bottom w:val="nil"/>
                    <w:right w:val="single" w:sz="8" w:space="0" w:color="auto"/>
                  </w:tcBorders>
                  <w:shd w:val="clear" w:color="auto" w:fill="auto"/>
                  <w:noWrap/>
                  <w:vAlign w:val="bottom"/>
                </w:tcPr>
                <w:p w:rsidR="00DA62C0" w:rsidRPr="001E2626" w:rsidRDefault="00DA62C0" w:rsidP="00DA62C0">
                  <w:pPr>
                    <w:spacing w:after="0" w:line="240" w:lineRule="auto"/>
                    <w:jc w:val="center"/>
                    <w:rPr>
                      <w:rFonts w:eastAsia="Times New Roman"/>
                      <w:bCs/>
                      <w:lang w:eastAsia="es-CR"/>
                    </w:rPr>
                  </w:pPr>
                  <w:r w:rsidRPr="001E2626">
                    <w:rPr>
                      <w:rFonts w:eastAsia="Times New Roman"/>
                      <w:bCs/>
                      <w:lang w:eastAsia="es-CR"/>
                    </w:rPr>
                    <w:t>1</w:t>
                  </w:r>
                </w:p>
              </w:tc>
            </w:tr>
            <w:tr w:rsidR="00DA62C0" w:rsidRPr="00DA62C0" w:rsidTr="00746DC0">
              <w:trPr>
                <w:trHeight w:val="300"/>
                <w:jc w:val="center"/>
              </w:trPr>
              <w:tc>
                <w:tcPr>
                  <w:tcW w:w="1400"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DA62C0" w:rsidRPr="00DA62C0" w:rsidRDefault="00DA62C0" w:rsidP="00DA62C0">
                  <w:pPr>
                    <w:spacing w:after="0" w:line="240" w:lineRule="auto"/>
                    <w:jc w:val="center"/>
                    <w:rPr>
                      <w:rFonts w:eastAsia="Times New Roman"/>
                      <w:b/>
                      <w:bCs/>
                      <w:lang w:eastAsia="es-CR"/>
                    </w:rPr>
                  </w:pPr>
                  <w:r w:rsidRPr="00DA62C0">
                    <w:rPr>
                      <w:rFonts w:eastAsia="Times New Roman"/>
                      <w:b/>
                      <w:bCs/>
                      <w:lang w:eastAsia="es-CR"/>
                    </w:rPr>
                    <w:t xml:space="preserve">Total </w:t>
                  </w:r>
                </w:p>
              </w:tc>
              <w:tc>
                <w:tcPr>
                  <w:tcW w:w="1419" w:type="dxa"/>
                  <w:tcBorders>
                    <w:top w:val="single" w:sz="8" w:space="0" w:color="auto"/>
                    <w:left w:val="nil"/>
                    <w:bottom w:val="single" w:sz="4" w:space="0" w:color="auto"/>
                    <w:right w:val="single" w:sz="4" w:space="0" w:color="auto"/>
                  </w:tcBorders>
                  <w:shd w:val="clear" w:color="auto" w:fill="auto"/>
                  <w:noWrap/>
                  <w:vAlign w:val="bottom"/>
                </w:tcPr>
                <w:p w:rsidR="00DA62C0" w:rsidRPr="001E2626" w:rsidRDefault="00DA62C0" w:rsidP="00DA62C0">
                  <w:pPr>
                    <w:spacing w:after="0" w:line="240" w:lineRule="auto"/>
                    <w:jc w:val="center"/>
                    <w:rPr>
                      <w:rFonts w:eastAsia="Times New Roman"/>
                      <w:bCs/>
                      <w:lang w:eastAsia="es-CR"/>
                    </w:rPr>
                  </w:pPr>
                  <w:r w:rsidRPr="001E2626">
                    <w:rPr>
                      <w:rFonts w:eastAsia="Times New Roman"/>
                      <w:bCs/>
                      <w:lang w:eastAsia="es-CR"/>
                    </w:rPr>
                    <w:t>51</w:t>
                  </w:r>
                </w:p>
              </w:tc>
              <w:tc>
                <w:tcPr>
                  <w:tcW w:w="1200" w:type="dxa"/>
                  <w:tcBorders>
                    <w:top w:val="single" w:sz="8" w:space="0" w:color="auto"/>
                    <w:left w:val="nil"/>
                    <w:bottom w:val="single" w:sz="4" w:space="0" w:color="auto"/>
                    <w:right w:val="single" w:sz="4" w:space="0" w:color="auto"/>
                  </w:tcBorders>
                  <w:shd w:val="clear" w:color="auto" w:fill="auto"/>
                  <w:noWrap/>
                  <w:vAlign w:val="bottom"/>
                </w:tcPr>
                <w:p w:rsidR="00DA62C0" w:rsidRPr="001E2626" w:rsidRDefault="00DA62C0" w:rsidP="00DA62C0">
                  <w:pPr>
                    <w:spacing w:after="0" w:line="240" w:lineRule="auto"/>
                    <w:jc w:val="center"/>
                    <w:rPr>
                      <w:rFonts w:eastAsia="Times New Roman"/>
                      <w:bCs/>
                      <w:lang w:eastAsia="es-CR"/>
                    </w:rPr>
                  </w:pPr>
                  <w:r w:rsidRPr="001E2626">
                    <w:rPr>
                      <w:rFonts w:eastAsia="Times New Roman"/>
                      <w:bCs/>
                      <w:lang w:eastAsia="es-CR"/>
                    </w:rPr>
                    <w:t>18</w:t>
                  </w:r>
                </w:p>
              </w:tc>
              <w:tc>
                <w:tcPr>
                  <w:tcW w:w="1386" w:type="dxa"/>
                  <w:tcBorders>
                    <w:top w:val="single" w:sz="8" w:space="0" w:color="auto"/>
                    <w:left w:val="nil"/>
                    <w:bottom w:val="single" w:sz="4" w:space="0" w:color="auto"/>
                    <w:right w:val="single" w:sz="4" w:space="0" w:color="auto"/>
                  </w:tcBorders>
                  <w:shd w:val="clear" w:color="auto" w:fill="auto"/>
                  <w:noWrap/>
                  <w:vAlign w:val="bottom"/>
                </w:tcPr>
                <w:p w:rsidR="00DA62C0" w:rsidRPr="001E2626" w:rsidRDefault="00DA62C0" w:rsidP="00DA62C0">
                  <w:pPr>
                    <w:spacing w:after="0" w:line="240" w:lineRule="auto"/>
                    <w:jc w:val="center"/>
                    <w:rPr>
                      <w:rFonts w:eastAsia="Times New Roman"/>
                      <w:bCs/>
                      <w:lang w:eastAsia="es-CR"/>
                    </w:rPr>
                  </w:pPr>
                  <w:r w:rsidRPr="001E2626">
                    <w:rPr>
                      <w:rFonts w:eastAsia="Times New Roman"/>
                      <w:bCs/>
                      <w:lang w:eastAsia="es-CR"/>
                    </w:rPr>
                    <w:t>15</w:t>
                  </w:r>
                </w:p>
              </w:tc>
              <w:tc>
                <w:tcPr>
                  <w:tcW w:w="1960" w:type="dxa"/>
                  <w:tcBorders>
                    <w:top w:val="single" w:sz="8" w:space="0" w:color="auto"/>
                    <w:left w:val="nil"/>
                    <w:bottom w:val="single" w:sz="4" w:space="0" w:color="auto"/>
                    <w:right w:val="single" w:sz="8" w:space="0" w:color="auto"/>
                  </w:tcBorders>
                  <w:shd w:val="clear" w:color="auto" w:fill="auto"/>
                  <w:noWrap/>
                  <w:vAlign w:val="bottom"/>
                </w:tcPr>
                <w:p w:rsidR="00DA62C0" w:rsidRPr="001E2626" w:rsidRDefault="00DA62C0" w:rsidP="00DA62C0">
                  <w:pPr>
                    <w:spacing w:after="0" w:line="240" w:lineRule="auto"/>
                    <w:jc w:val="center"/>
                    <w:rPr>
                      <w:rFonts w:eastAsia="Times New Roman"/>
                      <w:bCs/>
                      <w:lang w:eastAsia="es-CR"/>
                    </w:rPr>
                  </w:pPr>
                  <w:r w:rsidRPr="001E2626">
                    <w:rPr>
                      <w:rFonts w:eastAsia="Times New Roman"/>
                      <w:bCs/>
                      <w:lang w:eastAsia="es-CR"/>
                    </w:rPr>
                    <w:t>18</w:t>
                  </w:r>
                </w:p>
              </w:tc>
            </w:tr>
            <w:tr w:rsidR="00DA62C0" w:rsidRPr="00DA62C0" w:rsidTr="00746DC0">
              <w:trPr>
                <w:trHeight w:val="315"/>
                <w:jc w:val="center"/>
              </w:trPr>
              <w:tc>
                <w:tcPr>
                  <w:tcW w:w="1400" w:type="dxa"/>
                  <w:tcBorders>
                    <w:top w:val="nil"/>
                    <w:left w:val="single" w:sz="8" w:space="0" w:color="auto"/>
                    <w:bottom w:val="single" w:sz="8" w:space="0" w:color="auto"/>
                    <w:right w:val="single" w:sz="4" w:space="0" w:color="auto"/>
                  </w:tcBorders>
                  <w:shd w:val="clear" w:color="auto" w:fill="auto"/>
                  <w:noWrap/>
                  <w:vAlign w:val="bottom"/>
                  <w:hideMark/>
                </w:tcPr>
                <w:p w:rsidR="00DA62C0" w:rsidRPr="00DA62C0" w:rsidRDefault="00DA62C0" w:rsidP="00DA62C0">
                  <w:pPr>
                    <w:spacing w:after="0" w:line="240" w:lineRule="auto"/>
                    <w:jc w:val="center"/>
                    <w:rPr>
                      <w:rFonts w:eastAsia="Times New Roman"/>
                      <w:b/>
                      <w:bCs/>
                      <w:lang w:eastAsia="es-CR"/>
                    </w:rPr>
                  </w:pPr>
                  <w:r w:rsidRPr="00DA62C0">
                    <w:rPr>
                      <w:rFonts w:eastAsia="Times New Roman"/>
                      <w:b/>
                      <w:bCs/>
                      <w:lang w:eastAsia="es-CR"/>
                    </w:rPr>
                    <w:t>%</w:t>
                  </w:r>
                </w:p>
              </w:tc>
              <w:tc>
                <w:tcPr>
                  <w:tcW w:w="1419" w:type="dxa"/>
                  <w:tcBorders>
                    <w:top w:val="nil"/>
                    <w:left w:val="nil"/>
                    <w:bottom w:val="single" w:sz="8" w:space="0" w:color="auto"/>
                    <w:right w:val="single" w:sz="4" w:space="0" w:color="auto"/>
                  </w:tcBorders>
                  <w:shd w:val="clear" w:color="auto" w:fill="auto"/>
                  <w:noWrap/>
                  <w:vAlign w:val="bottom"/>
                </w:tcPr>
                <w:p w:rsidR="00DA62C0" w:rsidRPr="00DA62C0" w:rsidRDefault="00DA62C0" w:rsidP="00DA62C0">
                  <w:pPr>
                    <w:spacing w:after="0" w:line="240" w:lineRule="auto"/>
                    <w:jc w:val="center"/>
                    <w:rPr>
                      <w:rFonts w:eastAsia="Times New Roman"/>
                      <w:b/>
                      <w:bCs/>
                      <w:lang w:eastAsia="es-CR"/>
                    </w:rPr>
                  </w:pPr>
                  <w:r w:rsidRPr="00DA62C0">
                    <w:rPr>
                      <w:rFonts w:eastAsia="Times New Roman"/>
                      <w:b/>
                      <w:bCs/>
                      <w:lang w:eastAsia="es-CR"/>
                    </w:rPr>
                    <w:t>100%</w:t>
                  </w:r>
                </w:p>
              </w:tc>
              <w:tc>
                <w:tcPr>
                  <w:tcW w:w="1200" w:type="dxa"/>
                  <w:tcBorders>
                    <w:top w:val="nil"/>
                    <w:left w:val="nil"/>
                    <w:bottom w:val="single" w:sz="8" w:space="0" w:color="auto"/>
                    <w:right w:val="single" w:sz="4" w:space="0" w:color="auto"/>
                  </w:tcBorders>
                  <w:shd w:val="clear" w:color="auto" w:fill="auto"/>
                  <w:noWrap/>
                  <w:vAlign w:val="bottom"/>
                </w:tcPr>
                <w:p w:rsidR="00DA62C0" w:rsidRPr="00DA62C0" w:rsidRDefault="00DA62C0" w:rsidP="00DA62C0">
                  <w:pPr>
                    <w:spacing w:after="0" w:line="240" w:lineRule="auto"/>
                    <w:jc w:val="center"/>
                    <w:rPr>
                      <w:rFonts w:eastAsia="Times New Roman"/>
                      <w:b/>
                      <w:bCs/>
                      <w:lang w:eastAsia="es-CR"/>
                    </w:rPr>
                  </w:pPr>
                  <w:r w:rsidRPr="00DA62C0">
                    <w:rPr>
                      <w:rFonts w:eastAsia="Times New Roman"/>
                      <w:b/>
                      <w:bCs/>
                      <w:lang w:eastAsia="es-CR"/>
                    </w:rPr>
                    <w:t>35%</w:t>
                  </w:r>
                </w:p>
              </w:tc>
              <w:tc>
                <w:tcPr>
                  <w:tcW w:w="1386" w:type="dxa"/>
                  <w:tcBorders>
                    <w:top w:val="nil"/>
                    <w:left w:val="nil"/>
                    <w:bottom w:val="single" w:sz="8" w:space="0" w:color="auto"/>
                    <w:right w:val="single" w:sz="4" w:space="0" w:color="auto"/>
                  </w:tcBorders>
                  <w:shd w:val="clear" w:color="auto" w:fill="auto"/>
                  <w:noWrap/>
                  <w:vAlign w:val="bottom"/>
                </w:tcPr>
                <w:p w:rsidR="00DA62C0" w:rsidRPr="00DA62C0" w:rsidRDefault="00DA62C0" w:rsidP="00DA62C0">
                  <w:pPr>
                    <w:spacing w:after="0" w:line="240" w:lineRule="auto"/>
                    <w:jc w:val="center"/>
                    <w:rPr>
                      <w:rFonts w:eastAsia="Times New Roman"/>
                      <w:b/>
                      <w:bCs/>
                      <w:lang w:eastAsia="es-CR"/>
                    </w:rPr>
                  </w:pPr>
                  <w:r w:rsidRPr="00DA62C0">
                    <w:rPr>
                      <w:rFonts w:eastAsia="Times New Roman"/>
                      <w:b/>
                      <w:bCs/>
                      <w:lang w:eastAsia="es-CR"/>
                    </w:rPr>
                    <w:t>29%</w:t>
                  </w:r>
                </w:p>
              </w:tc>
              <w:tc>
                <w:tcPr>
                  <w:tcW w:w="1960" w:type="dxa"/>
                  <w:tcBorders>
                    <w:top w:val="nil"/>
                    <w:left w:val="nil"/>
                    <w:bottom w:val="single" w:sz="8" w:space="0" w:color="auto"/>
                    <w:right w:val="single" w:sz="8" w:space="0" w:color="auto"/>
                  </w:tcBorders>
                  <w:shd w:val="clear" w:color="auto" w:fill="auto"/>
                  <w:noWrap/>
                  <w:vAlign w:val="bottom"/>
                </w:tcPr>
                <w:p w:rsidR="00DA62C0" w:rsidRPr="00DA62C0" w:rsidRDefault="00DA62C0" w:rsidP="00DA62C0">
                  <w:pPr>
                    <w:spacing w:after="0" w:line="240" w:lineRule="auto"/>
                    <w:jc w:val="center"/>
                    <w:rPr>
                      <w:rFonts w:eastAsia="Times New Roman"/>
                      <w:b/>
                      <w:bCs/>
                      <w:lang w:eastAsia="es-CR"/>
                    </w:rPr>
                  </w:pPr>
                  <w:r w:rsidRPr="00DA62C0">
                    <w:rPr>
                      <w:rFonts w:eastAsia="Times New Roman"/>
                      <w:b/>
                      <w:bCs/>
                      <w:lang w:eastAsia="es-CR"/>
                    </w:rPr>
                    <w:t>35%</w:t>
                  </w:r>
                </w:p>
              </w:tc>
            </w:tr>
          </w:tbl>
          <w:p w:rsidR="00DA62C0" w:rsidRPr="00DA62C0" w:rsidRDefault="00DA62C0" w:rsidP="00DA62C0">
            <w:pPr>
              <w:spacing w:after="0" w:line="240" w:lineRule="auto"/>
              <w:jc w:val="center"/>
              <w:rPr>
                <w:rFonts w:eastAsia="Times New Roman"/>
                <w:b/>
                <w:bCs/>
                <w:lang w:eastAsia="es-CR"/>
              </w:rPr>
            </w:pPr>
          </w:p>
        </w:tc>
      </w:tr>
      <w:tr w:rsidR="00DA62C0" w:rsidRPr="00AF29B9" w:rsidTr="00746DC0">
        <w:trPr>
          <w:trHeight w:val="300"/>
        </w:trPr>
        <w:tc>
          <w:tcPr>
            <w:tcW w:w="7105" w:type="dxa"/>
            <w:tcBorders>
              <w:top w:val="nil"/>
              <w:left w:val="nil"/>
              <w:bottom w:val="nil"/>
              <w:right w:val="nil"/>
            </w:tcBorders>
            <w:shd w:val="clear" w:color="auto" w:fill="auto"/>
            <w:noWrap/>
            <w:vAlign w:val="bottom"/>
            <w:hideMark/>
          </w:tcPr>
          <w:p w:rsidR="00DA62C0" w:rsidRPr="00C46DF8" w:rsidRDefault="00DA62C0" w:rsidP="00746DC0">
            <w:pPr>
              <w:rPr>
                <w:rFonts w:ascii="Arial" w:hAnsi="Arial" w:cs="Arial"/>
                <w:b/>
                <w:bCs/>
                <w:sz w:val="18"/>
                <w:szCs w:val="18"/>
                <w:lang w:eastAsia="es-CR"/>
              </w:rPr>
            </w:pPr>
            <w:r w:rsidRPr="00C46DF8">
              <w:rPr>
                <w:rFonts w:ascii="Arial" w:hAnsi="Arial" w:cs="Arial"/>
                <w:b/>
                <w:bCs/>
                <w:sz w:val="18"/>
                <w:szCs w:val="18"/>
                <w:lang w:eastAsia="es-CR"/>
              </w:rPr>
              <w:t xml:space="preserve">                  Fuente: Informe de rendimiento de cuentas del área. (2017)</w:t>
            </w:r>
          </w:p>
          <w:p w:rsidR="00DA62C0" w:rsidRPr="00C46DF8" w:rsidRDefault="00DA62C0" w:rsidP="00746DC0">
            <w:pPr>
              <w:rPr>
                <w:rFonts w:ascii="Arial" w:hAnsi="Arial" w:cs="Arial"/>
                <w:sz w:val="18"/>
                <w:szCs w:val="18"/>
                <w:lang w:eastAsia="es-CR"/>
              </w:rPr>
            </w:pPr>
          </w:p>
        </w:tc>
        <w:tc>
          <w:tcPr>
            <w:tcW w:w="1841" w:type="dxa"/>
            <w:tcBorders>
              <w:top w:val="nil"/>
              <w:left w:val="nil"/>
              <w:bottom w:val="nil"/>
              <w:right w:val="nil"/>
            </w:tcBorders>
            <w:shd w:val="clear" w:color="auto" w:fill="auto"/>
            <w:noWrap/>
            <w:vAlign w:val="bottom"/>
            <w:hideMark/>
          </w:tcPr>
          <w:p w:rsidR="00DA62C0" w:rsidRPr="00C46DF8" w:rsidRDefault="00DA62C0" w:rsidP="00746DC0">
            <w:pPr>
              <w:rPr>
                <w:lang w:eastAsia="es-CR"/>
              </w:rPr>
            </w:pPr>
          </w:p>
        </w:tc>
      </w:tr>
    </w:tbl>
    <w:p w:rsidR="00DA62C0" w:rsidRPr="009B28EB" w:rsidRDefault="00DA62C0" w:rsidP="00DA62C0">
      <w:pPr>
        <w:jc w:val="center"/>
        <w:rPr>
          <w:rFonts w:ascii="Arial" w:hAnsi="Arial" w:cs="Arial"/>
          <w:color w:val="FF0000"/>
        </w:rPr>
      </w:pPr>
      <w:r>
        <w:rPr>
          <w:rFonts w:ascii="Arial" w:hAnsi="Arial" w:cs="Arial"/>
          <w:color w:val="FF0000"/>
        </w:rPr>
        <w:fldChar w:fldCharType="begin"/>
      </w:r>
      <w:r>
        <w:rPr>
          <w:rFonts w:ascii="Arial" w:hAnsi="Arial" w:cs="Arial"/>
          <w:color w:val="FF0000"/>
        </w:rPr>
        <w:instrText xml:space="preserve"> LINK Excel.Sheet.12 "" "" \a \p </w:instrText>
      </w:r>
      <w:r>
        <w:rPr>
          <w:rFonts w:ascii="Arial" w:hAnsi="Arial" w:cs="Arial"/>
          <w:color w:val="FF0000"/>
        </w:rPr>
        <w:fldChar w:fldCharType="separate"/>
      </w:r>
      <w:r w:rsidR="00C16C06">
        <w:rPr>
          <w:rFonts w:ascii="Arial" w:hAnsi="Arial" w:cs="Arial"/>
          <w:color w:val="FF0000"/>
        </w:rPr>
        <w:object w:dxaOrig="9689" w:dyaOrig="65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364.05pt;height:246.95pt" o:ole="">
            <v:imagedata r:id="rId18" o:title=""/>
          </v:shape>
        </w:object>
      </w:r>
      <w:r>
        <w:rPr>
          <w:rFonts w:ascii="Arial" w:hAnsi="Arial" w:cs="Arial"/>
          <w:color w:val="FF0000"/>
        </w:rPr>
        <w:fldChar w:fldCharType="end"/>
      </w:r>
    </w:p>
    <w:p w:rsidR="000316DE" w:rsidRDefault="00DA62C0" w:rsidP="000316DE">
      <w:pPr>
        <w:jc w:val="both"/>
        <w:rPr>
          <w:rFonts w:ascii="Arial" w:hAnsi="Arial" w:cs="Arial"/>
          <w:sz w:val="18"/>
          <w:szCs w:val="18"/>
          <w:lang w:eastAsia="es-CR"/>
        </w:rPr>
      </w:pPr>
      <w:r>
        <w:rPr>
          <w:rFonts w:ascii="Arial" w:hAnsi="Arial" w:cs="Arial"/>
          <w:color w:val="FF0000"/>
          <w:sz w:val="18"/>
          <w:szCs w:val="18"/>
          <w:lang w:eastAsia="es-CR"/>
        </w:rPr>
        <w:t xml:space="preserve">            </w:t>
      </w:r>
      <w:r w:rsidRPr="00AF29B9">
        <w:rPr>
          <w:rFonts w:ascii="Arial" w:hAnsi="Arial" w:cs="Arial"/>
          <w:sz w:val="18"/>
          <w:szCs w:val="18"/>
          <w:lang w:eastAsia="es-CR"/>
        </w:rPr>
        <w:t xml:space="preserve">   </w:t>
      </w:r>
      <w:r>
        <w:rPr>
          <w:rFonts w:ascii="Arial" w:hAnsi="Arial" w:cs="Arial"/>
          <w:sz w:val="18"/>
          <w:szCs w:val="18"/>
          <w:lang w:eastAsia="es-CR"/>
        </w:rPr>
        <w:t xml:space="preserve">         </w:t>
      </w:r>
      <w:r w:rsidRPr="00AF29B9">
        <w:rPr>
          <w:rFonts w:ascii="Arial" w:hAnsi="Arial" w:cs="Arial"/>
          <w:sz w:val="18"/>
          <w:szCs w:val="18"/>
          <w:lang w:eastAsia="es-CR"/>
        </w:rPr>
        <w:t>Fuente: Informe de rendimiento de cuentas de las áreas. (2017)</w:t>
      </w:r>
    </w:p>
    <w:p w:rsidR="000316DE" w:rsidRDefault="000316DE" w:rsidP="000316DE">
      <w:pPr>
        <w:jc w:val="both"/>
        <w:rPr>
          <w:color w:val="FF0000"/>
        </w:rPr>
      </w:pPr>
      <w:bookmarkStart w:id="3" w:name="_Toc482965756"/>
    </w:p>
    <w:p w:rsidR="00DA62C0" w:rsidRPr="00916ECF" w:rsidRDefault="00DA62C0" w:rsidP="00916ECF">
      <w:pPr>
        <w:pStyle w:val="Ttulo1"/>
        <w:keepLines w:val="0"/>
        <w:numPr>
          <w:ilvl w:val="0"/>
          <w:numId w:val="1"/>
        </w:numPr>
        <w:spacing w:after="60" w:line="240" w:lineRule="auto"/>
        <w:jc w:val="both"/>
        <w:rPr>
          <w:rFonts w:ascii="Arial" w:hAnsi="Arial" w:cs="Arial"/>
          <w:b/>
          <w:color w:val="auto"/>
          <w:sz w:val="20"/>
          <w:szCs w:val="20"/>
        </w:rPr>
      </w:pPr>
      <w:r w:rsidRPr="00916ECF">
        <w:rPr>
          <w:rFonts w:ascii="Arial" w:hAnsi="Arial" w:cs="Arial"/>
          <w:b/>
          <w:color w:val="auto"/>
          <w:sz w:val="20"/>
          <w:szCs w:val="20"/>
        </w:rPr>
        <w:t>PROGRAMA PRESUPUESTARIO N°1 ADMINISTRACION Y APOYO</w:t>
      </w:r>
      <w:bookmarkEnd w:id="3"/>
    </w:p>
    <w:p w:rsidR="00DA62C0" w:rsidRPr="00DA62C0" w:rsidRDefault="00DA62C0" w:rsidP="000665F1">
      <w:pPr>
        <w:pStyle w:val="Ttulo2"/>
        <w:keepLines w:val="0"/>
        <w:numPr>
          <w:ilvl w:val="0"/>
          <w:numId w:val="2"/>
        </w:numPr>
        <w:spacing w:before="240" w:after="60" w:line="240" w:lineRule="auto"/>
        <w:rPr>
          <w:rFonts w:ascii="Arial" w:eastAsia="Times New Roman" w:hAnsi="Arial" w:cs="Arial"/>
          <w:bCs w:val="0"/>
          <w:color w:val="auto"/>
          <w:sz w:val="20"/>
          <w:szCs w:val="20"/>
          <w:lang w:eastAsia="es-ES"/>
        </w:rPr>
      </w:pPr>
      <w:bookmarkStart w:id="4" w:name="_Toc482965757"/>
      <w:r w:rsidRPr="00DA62C0">
        <w:rPr>
          <w:rFonts w:ascii="Arial" w:eastAsia="Times New Roman" w:hAnsi="Arial" w:cs="Arial"/>
          <w:bCs w:val="0"/>
          <w:color w:val="auto"/>
          <w:sz w:val="20"/>
          <w:szCs w:val="20"/>
          <w:lang w:eastAsia="es-ES"/>
        </w:rPr>
        <w:t>Breve descripción</w:t>
      </w:r>
      <w:bookmarkEnd w:id="4"/>
    </w:p>
    <w:p w:rsidR="00DA62C0" w:rsidRDefault="00DA62C0" w:rsidP="00DA62C0">
      <w:pPr>
        <w:keepNext/>
        <w:spacing w:after="0" w:line="240" w:lineRule="auto"/>
        <w:jc w:val="both"/>
        <w:outlineLvl w:val="3"/>
        <w:rPr>
          <w:rFonts w:ascii="Arial" w:eastAsia="Times New Roman" w:hAnsi="Arial" w:cs="Arial"/>
          <w:sz w:val="20"/>
          <w:szCs w:val="20"/>
          <w:lang w:eastAsia="es-ES"/>
        </w:rPr>
      </w:pPr>
    </w:p>
    <w:p w:rsidR="00DA62C0" w:rsidRPr="00DA62C0" w:rsidRDefault="00DA62C0" w:rsidP="00DA62C0">
      <w:pPr>
        <w:keepNext/>
        <w:spacing w:after="0" w:line="240" w:lineRule="auto"/>
        <w:jc w:val="both"/>
        <w:outlineLvl w:val="3"/>
        <w:rPr>
          <w:rFonts w:ascii="Arial" w:eastAsia="Times New Roman" w:hAnsi="Arial" w:cs="Arial"/>
          <w:sz w:val="20"/>
          <w:szCs w:val="20"/>
          <w:lang w:eastAsia="es-ES"/>
        </w:rPr>
      </w:pPr>
      <w:r w:rsidRPr="00DA62C0">
        <w:rPr>
          <w:rFonts w:ascii="Arial" w:eastAsia="Times New Roman" w:hAnsi="Arial" w:cs="Arial"/>
          <w:sz w:val="20"/>
          <w:szCs w:val="20"/>
          <w:lang w:eastAsia="es-ES"/>
        </w:rPr>
        <w:t>En este programa se agrupa el nivel político y gerencial, y todas las unidades administrativas  que sirven de apoyo y asesoría a  la producción institucional de bienes y servicios. Su finalidad principal es lograr un  adecuado funcionamiento, toma de decisiones, control, seguimiento y cumplimiento de los objetivos para los que fue creada la institución.</w:t>
      </w:r>
    </w:p>
    <w:p w:rsidR="00DA62C0" w:rsidRPr="00DA62C0" w:rsidRDefault="00DA62C0" w:rsidP="00DA62C0">
      <w:pPr>
        <w:pStyle w:val="Ttulo2"/>
        <w:keepLines w:val="0"/>
        <w:spacing w:before="240" w:after="60" w:line="240" w:lineRule="auto"/>
        <w:ind w:left="1080" w:hanging="360"/>
        <w:jc w:val="both"/>
        <w:rPr>
          <w:rFonts w:ascii="Arial" w:eastAsia="Times New Roman" w:hAnsi="Arial" w:cs="Arial"/>
          <w:b w:val="0"/>
          <w:bCs w:val="0"/>
          <w:i/>
          <w:color w:val="auto"/>
          <w:sz w:val="20"/>
          <w:szCs w:val="20"/>
          <w:lang w:eastAsia="es-ES"/>
        </w:rPr>
      </w:pPr>
    </w:p>
    <w:p w:rsidR="00DA62C0" w:rsidRPr="00DA62C0" w:rsidRDefault="00DA62C0" w:rsidP="000665F1">
      <w:pPr>
        <w:pStyle w:val="Ttulo2"/>
        <w:keepLines w:val="0"/>
        <w:numPr>
          <w:ilvl w:val="0"/>
          <w:numId w:val="2"/>
        </w:numPr>
        <w:spacing w:before="240" w:after="60" w:line="240" w:lineRule="auto"/>
        <w:rPr>
          <w:rFonts w:ascii="Arial" w:eastAsia="Times New Roman" w:hAnsi="Arial" w:cs="Arial"/>
          <w:bCs w:val="0"/>
          <w:color w:val="auto"/>
          <w:sz w:val="20"/>
          <w:szCs w:val="20"/>
          <w:lang w:eastAsia="es-ES"/>
        </w:rPr>
      </w:pPr>
      <w:bookmarkStart w:id="5" w:name="_Toc482965758"/>
      <w:r w:rsidRPr="00DA62C0">
        <w:rPr>
          <w:rFonts w:ascii="Arial" w:eastAsia="Times New Roman" w:hAnsi="Arial" w:cs="Arial"/>
          <w:bCs w:val="0"/>
          <w:color w:val="auto"/>
          <w:sz w:val="20"/>
          <w:szCs w:val="20"/>
          <w:lang w:eastAsia="es-ES"/>
        </w:rPr>
        <w:t>Análisis del cumplimiento de las metas programadas por indicador</w:t>
      </w:r>
      <w:bookmarkEnd w:id="5"/>
    </w:p>
    <w:p w:rsidR="00DA62C0" w:rsidRDefault="00DA62C0" w:rsidP="00DA62C0">
      <w:pPr>
        <w:keepNext/>
        <w:spacing w:after="0" w:line="240" w:lineRule="auto"/>
        <w:jc w:val="both"/>
        <w:outlineLvl w:val="3"/>
        <w:rPr>
          <w:rFonts w:ascii="Arial" w:eastAsia="Times New Roman" w:hAnsi="Arial" w:cs="Arial"/>
          <w:sz w:val="20"/>
          <w:szCs w:val="20"/>
          <w:lang w:eastAsia="es-ES"/>
        </w:rPr>
      </w:pPr>
    </w:p>
    <w:p w:rsidR="00DA62C0" w:rsidRPr="00DA62C0" w:rsidRDefault="00DA62C0" w:rsidP="00DA62C0">
      <w:pPr>
        <w:keepNext/>
        <w:spacing w:after="0" w:line="240" w:lineRule="auto"/>
        <w:jc w:val="both"/>
        <w:outlineLvl w:val="3"/>
        <w:rPr>
          <w:rFonts w:ascii="Arial" w:eastAsia="Times New Roman" w:hAnsi="Arial" w:cs="Arial"/>
          <w:sz w:val="20"/>
          <w:szCs w:val="20"/>
          <w:lang w:eastAsia="es-ES"/>
        </w:rPr>
      </w:pPr>
      <w:r w:rsidRPr="00DA62C0">
        <w:rPr>
          <w:rFonts w:ascii="Arial" w:eastAsia="Times New Roman" w:hAnsi="Arial" w:cs="Arial"/>
          <w:sz w:val="20"/>
          <w:szCs w:val="20"/>
          <w:lang w:eastAsia="es-ES"/>
        </w:rPr>
        <w:t xml:space="preserve">La evaluación a diciembre de los principales proyectos gestionados, se detalla seguidamente: </w:t>
      </w:r>
    </w:p>
    <w:p w:rsidR="00DA62C0" w:rsidRPr="00DA62C0" w:rsidRDefault="00DA62C0" w:rsidP="00DA62C0">
      <w:pPr>
        <w:keepNext/>
        <w:spacing w:after="0" w:line="240" w:lineRule="auto"/>
        <w:jc w:val="both"/>
        <w:outlineLvl w:val="3"/>
        <w:rPr>
          <w:rFonts w:ascii="Arial" w:eastAsia="Times New Roman" w:hAnsi="Arial" w:cs="Arial"/>
          <w:sz w:val="20"/>
          <w:szCs w:val="20"/>
          <w:lang w:eastAsia="es-ES"/>
        </w:rPr>
      </w:pPr>
    </w:p>
    <w:p w:rsidR="00DA62C0" w:rsidRDefault="00DA62C0">
      <w:pPr>
        <w:rPr>
          <w:rFonts w:ascii="Arial" w:eastAsia="Times New Roman" w:hAnsi="Arial" w:cs="Arial"/>
          <w:sz w:val="20"/>
          <w:szCs w:val="20"/>
          <w:lang w:val="es-ES" w:eastAsia="es-ES"/>
        </w:rPr>
      </w:pPr>
    </w:p>
    <w:p w:rsidR="00DA62C0" w:rsidRDefault="00DA62C0">
      <w:pPr>
        <w:rPr>
          <w:rFonts w:ascii="Arial" w:eastAsia="Times New Roman" w:hAnsi="Arial" w:cs="Arial"/>
          <w:sz w:val="20"/>
          <w:szCs w:val="20"/>
          <w:lang w:val="es-ES" w:eastAsia="es-ES"/>
        </w:rPr>
      </w:pPr>
      <w:r>
        <w:rPr>
          <w:rFonts w:ascii="Arial" w:eastAsia="Times New Roman" w:hAnsi="Arial" w:cs="Arial"/>
          <w:sz w:val="20"/>
          <w:szCs w:val="20"/>
          <w:lang w:val="es-ES" w:eastAsia="es-ES"/>
        </w:rPr>
        <w:br w:type="page"/>
      </w:r>
    </w:p>
    <w:p w:rsidR="00DA62C0" w:rsidRPr="00DA62C0" w:rsidRDefault="00DA62C0" w:rsidP="007838FA">
      <w:pPr>
        <w:spacing w:after="0" w:line="240" w:lineRule="auto"/>
        <w:jc w:val="both"/>
        <w:rPr>
          <w:rFonts w:ascii="Arial" w:eastAsia="Times New Roman" w:hAnsi="Arial" w:cs="Arial"/>
          <w:b/>
          <w:sz w:val="20"/>
          <w:szCs w:val="20"/>
          <w:lang w:eastAsia="es-ES"/>
        </w:rPr>
      </w:pPr>
      <w:r w:rsidRPr="00DA62C0">
        <w:rPr>
          <w:rFonts w:ascii="Arial" w:eastAsia="Times New Roman" w:hAnsi="Arial" w:cs="Arial"/>
          <w:b/>
          <w:sz w:val="20"/>
          <w:szCs w:val="20"/>
          <w:lang w:eastAsia="es-ES"/>
        </w:rPr>
        <w:lastRenderedPageBreak/>
        <w:t>Indicador N°1 Porcentaje de implementación del plan de mejoras al estudio de Clima organizacional</w:t>
      </w:r>
    </w:p>
    <w:p w:rsidR="00DA62C0" w:rsidRPr="00DA62C0" w:rsidRDefault="00DA62C0" w:rsidP="00DA62C0">
      <w:pPr>
        <w:spacing w:after="0" w:line="240" w:lineRule="auto"/>
        <w:jc w:val="both"/>
        <w:rPr>
          <w:rFonts w:ascii="Arial" w:eastAsia="Times New Roman" w:hAnsi="Arial" w:cs="Arial"/>
          <w:b/>
          <w:sz w:val="20"/>
          <w:szCs w:val="20"/>
          <w:lang w:eastAsia="es-ES"/>
        </w:rPr>
      </w:pPr>
    </w:p>
    <w:p w:rsidR="00DA62C0" w:rsidRPr="00DA62C0" w:rsidRDefault="00DA62C0" w:rsidP="00DA62C0">
      <w:pPr>
        <w:spacing w:after="0" w:line="240" w:lineRule="auto"/>
        <w:jc w:val="both"/>
        <w:rPr>
          <w:rFonts w:ascii="Arial" w:eastAsia="Times New Roman" w:hAnsi="Arial" w:cs="Arial"/>
          <w:sz w:val="20"/>
          <w:szCs w:val="20"/>
          <w:lang w:eastAsia="es-ES"/>
        </w:rPr>
      </w:pPr>
      <w:r w:rsidRPr="00DA62C0">
        <w:rPr>
          <w:rFonts w:ascii="Arial" w:eastAsia="Times New Roman" w:hAnsi="Arial" w:cs="Arial"/>
          <w:sz w:val="20"/>
          <w:szCs w:val="20"/>
          <w:lang w:eastAsia="es-ES"/>
        </w:rPr>
        <w:t>La ejecución de este indicador sobre Clima organizacional se reprogramó para el período 2018.</w:t>
      </w:r>
    </w:p>
    <w:p w:rsidR="00DA62C0" w:rsidRPr="00DA62C0" w:rsidRDefault="00DA62C0" w:rsidP="00DA62C0">
      <w:pPr>
        <w:spacing w:after="0" w:line="240" w:lineRule="auto"/>
        <w:jc w:val="both"/>
        <w:rPr>
          <w:rFonts w:ascii="Arial" w:eastAsia="Times New Roman" w:hAnsi="Arial" w:cs="Arial"/>
          <w:sz w:val="20"/>
          <w:szCs w:val="20"/>
          <w:lang w:eastAsia="es-ES"/>
        </w:rPr>
      </w:pPr>
    </w:p>
    <w:p w:rsidR="00DA62C0" w:rsidRPr="00DA62C0" w:rsidRDefault="00DA62C0" w:rsidP="00DA62C0">
      <w:pPr>
        <w:spacing w:after="0" w:line="240" w:lineRule="auto"/>
        <w:jc w:val="both"/>
        <w:rPr>
          <w:rFonts w:ascii="Arial" w:eastAsia="Times New Roman" w:hAnsi="Arial" w:cs="Arial"/>
          <w:sz w:val="20"/>
          <w:szCs w:val="20"/>
          <w:lang w:eastAsia="es-ES"/>
        </w:rPr>
      </w:pPr>
    </w:p>
    <w:p w:rsidR="00DA62C0" w:rsidRPr="00DA62C0" w:rsidRDefault="00DA62C0" w:rsidP="00DA62C0">
      <w:pPr>
        <w:spacing w:after="0" w:line="240" w:lineRule="auto"/>
        <w:jc w:val="both"/>
        <w:rPr>
          <w:rFonts w:ascii="Arial" w:eastAsia="Times New Roman" w:hAnsi="Arial" w:cs="Arial"/>
          <w:b/>
          <w:sz w:val="20"/>
          <w:szCs w:val="20"/>
          <w:lang w:eastAsia="es-ES"/>
        </w:rPr>
      </w:pPr>
      <w:r w:rsidRPr="00DA62C0">
        <w:rPr>
          <w:rFonts w:ascii="Arial" w:eastAsia="Times New Roman" w:hAnsi="Arial" w:cs="Arial"/>
          <w:b/>
          <w:sz w:val="20"/>
          <w:szCs w:val="20"/>
          <w:lang w:eastAsia="es-ES"/>
        </w:rPr>
        <w:t>Indicador N°2 Porcentaje de implementación del Sistema de Información</w:t>
      </w:r>
    </w:p>
    <w:p w:rsidR="00DA62C0" w:rsidRPr="00DA62C0" w:rsidRDefault="00DA62C0" w:rsidP="00DA62C0">
      <w:pPr>
        <w:spacing w:after="0" w:line="240" w:lineRule="auto"/>
        <w:jc w:val="both"/>
        <w:rPr>
          <w:rFonts w:ascii="Arial" w:eastAsia="Times New Roman" w:hAnsi="Arial" w:cs="Arial"/>
          <w:sz w:val="20"/>
          <w:szCs w:val="20"/>
          <w:lang w:eastAsia="es-ES"/>
        </w:rPr>
      </w:pPr>
    </w:p>
    <w:p w:rsidR="00DA62C0" w:rsidRPr="00DA62C0" w:rsidRDefault="00DA62C0" w:rsidP="00DA62C0">
      <w:pPr>
        <w:spacing w:after="0" w:line="240" w:lineRule="auto"/>
        <w:jc w:val="both"/>
        <w:rPr>
          <w:rFonts w:ascii="Arial" w:eastAsia="Times New Roman" w:hAnsi="Arial" w:cs="Arial"/>
          <w:sz w:val="20"/>
          <w:szCs w:val="20"/>
          <w:lang w:eastAsia="es-ES"/>
        </w:rPr>
      </w:pPr>
      <w:r w:rsidRPr="00DA62C0">
        <w:rPr>
          <w:rFonts w:ascii="Arial" w:eastAsia="Times New Roman" w:hAnsi="Arial" w:cs="Arial"/>
          <w:sz w:val="20"/>
          <w:szCs w:val="20"/>
          <w:lang w:eastAsia="es-ES"/>
        </w:rPr>
        <w:t xml:space="preserve">A diciembre la implementación del Sistema de Información fue de un 100%. </w:t>
      </w:r>
    </w:p>
    <w:p w:rsidR="00DA62C0" w:rsidRPr="00DA62C0" w:rsidRDefault="00DA62C0" w:rsidP="00DA62C0">
      <w:pPr>
        <w:spacing w:after="0" w:line="240" w:lineRule="auto"/>
        <w:jc w:val="both"/>
        <w:rPr>
          <w:rFonts w:ascii="Arial" w:eastAsia="Times New Roman" w:hAnsi="Arial" w:cs="Arial"/>
          <w:sz w:val="20"/>
          <w:szCs w:val="20"/>
          <w:lang w:eastAsia="es-ES"/>
        </w:rPr>
      </w:pPr>
    </w:p>
    <w:p w:rsidR="00DA62C0" w:rsidRPr="00DA62C0" w:rsidRDefault="00DA62C0" w:rsidP="00DA62C0">
      <w:pPr>
        <w:spacing w:after="0" w:line="240" w:lineRule="auto"/>
        <w:jc w:val="both"/>
        <w:rPr>
          <w:rFonts w:ascii="Arial" w:eastAsia="Times New Roman" w:hAnsi="Arial" w:cs="Arial"/>
          <w:sz w:val="20"/>
          <w:szCs w:val="20"/>
          <w:lang w:eastAsia="es-ES"/>
        </w:rPr>
      </w:pPr>
      <w:r w:rsidRPr="00DA62C0">
        <w:rPr>
          <w:rFonts w:ascii="Arial" w:eastAsia="Times New Roman" w:hAnsi="Arial" w:cs="Arial"/>
          <w:sz w:val="20"/>
          <w:szCs w:val="20"/>
          <w:lang w:eastAsia="es-ES"/>
        </w:rPr>
        <w:t>Se completó la definición del nuevo catálogo contable, se concluyó la etapa de capacitaciones y se inició la etapa de adaptaciones y pruebas.</w:t>
      </w:r>
    </w:p>
    <w:p w:rsidR="00DA62C0" w:rsidRPr="00DA62C0" w:rsidRDefault="00DA62C0" w:rsidP="00DA62C0">
      <w:pPr>
        <w:spacing w:after="0" w:line="240" w:lineRule="auto"/>
        <w:jc w:val="both"/>
        <w:rPr>
          <w:rFonts w:ascii="Arial" w:eastAsia="Times New Roman" w:hAnsi="Arial" w:cs="Arial"/>
          <w:sz w:val="20"/>
          <w:szCs w:val="20"/>
          <w:lang w:eastAsia="es-ES"/>
        </w:rPr>
      </w:pPr>
      <w:r w:rsidRPr="00DA62C0">
        <w:rPr>
          <w:rFonts w:ascii="Arial" w:eastAsia="Times New Roman" w:hAnsi="Arial" w:cs="Arial"/>
          <w:sz w:val="20"/>
          <w:szCs w:val="20"/>
          <w:lang w:eastAsia="es-ES"/>
        </w:rPr>
        <w:t xml:space="preserve"> </w:t>
      </w:r>
    </w:p>
    <w:p w:rsidR="00DA62C0" w:rsidRPr="00DA62C0" w:rsidRDefault="00DA62C0" w:rsidP="00DA62C0">
      <w:pPr>
        <w:spacing w:after="0" w:line="240" w:lineRule="auto"/>
        <w:jc w:val="both"/>
        <w:rPr>
          <w:rFonts w:ascii="Arial" w:eastAsia="Times New Roman" w:hAnsi="Arial" w:cs="Arial"/>
          <w:sz w:val="20"/>
          <w:szCs w:val="20"/>
          <w:lang w:eastAsia="es-ES"/>
        </w:rPr>
      </w:pPr>
    </w:p>
    <w:p w:rsidR="00DA62C0" w:rsidRPr="00DA62C0" w:rsidRDefault="00DA62C0" w:rsidP="00DA62C0">
      <w:pPr>
        <w:spacing w:after="0" w:line="240" w:lineRule="auto"/>
        <w:jc w:val="both"/>
        <w:rPr>
          <w:rFonts w:ascii="Arial" w:eastAsia="Times New Roman" w:hAnsi="Arial" w:cs="Arial"/>
          <w:sz w:val="20"/>
          <w:szCs w:val="20"/>
          <w:lang w:eastAsia="es-ES"/>
        </w:rPr>
      </w:pPr>
      <w:r w:rsidRPr="00DA62C0">
        <w:rPr>
          <w:rFonts w:ascii="Arial" w:eastAsia="Times New Roman" w:hAnsi="Arial" w:cs="Arial"/>
          <w:sz w:val="20"/>
          <w:szCs w:val="20"/>
          <w:lang w:eastAsia="es-ES"/>
        </w:rPr>
        <w:t>Seguidamente se muestra un detalle de lo actuado:</w:t>
      </w:r>
    </w:p>
    <w:tbl>
      <w:tblPr>
        <w:tblW w:w="9103" w:type="dxa"/>
        <w:tblBorders>
          <w:insideH w:val="single" w:sz="6" w:space="0" w:color="000000"/>
          <w:insideV w:val="single" w:sz="6" w:space="0" w:color="000000"/>
        </w:tblBorders>
        <w:tblLook w:val="04A0" w:firstRow="1" w:lastRow="0" w:firstColumn="1" w:lastColumn="0" w:noHBand="0" w:noVBand="1"/>
      </w:tblPr>
      <w:tblGrid>
        <w:gridCol w:w="4293"/>
        <w:gridCol w:w="4810"/>
      </w:tblGrid>
      <w:tr w:rsidR="00DA62C0" w:rsidRPr="00DA62C0" w:rsidTr="00746DC0">
        <w:trPr>
          <w:trHeight w:val="270"/>
        </w:trPr>
        <w:tc>
          <w:tcPr>
            <w:tcW w:w="5000" w:type="pct"/>
            <w:gridSpan w:val="2"/>
            <w:shd w:val="clear" w:color="auto" w:fill="auto"/>
            <w:noWrap/>
            <w:hideMark/>
          </w:tcPr>
          <w:p w:rsidR="00DA62C0" w:rsidRPr="00DA62C0" w:rsidRDefault="00DA62C0" w:rsidP="00DA62C0">
            <w:pPr>
              <w:spacing w:after="0" w:line="240" w:lineRule="auto"/>
              <w:jc w:val="both"/>
              <w:rPr>
                <w:rFonts w:ascii="Arial" w:eastAsia="Times New Roman" w:hAnsi="Arial" w:cs="Arial"/>
                <w:sz w:val="20"/>
                <w:szCs w:val="20"/>
                <w:lang w:eastAsia="es-ES"/>
              </w:rPr>
            </w:pPr>
          </w:p>
          <w:p w:rsidR="00DA62C0" w:rsidRPr="00744CE6" w:rsidRDefault="00DA62C0" w:rsidP="00DA62C0">
            <w:pPr>
              <w:spacing w:after="0" w:line="240" w:lineRule="auto"/>
              <w:jc w:val="center"/>
              <w:rPr>
                <w:rFonts w:ascii="Arial" w:eastAsia="Times New Roman" w:hAnsi="Arial" w:cs="Arial"/>
                <w:b/>
                <w:sz w:val="20"/>
                <w:szCs w:val="20"/>
                <w:lang w:eastAsia="es-ES"/>
              </w:rPr>
            </w:pPr>
            <w:r w:rsidRPr="00744CE6">
              <w:rPr>
                <w:rFonts w:ascii="Arial" w:eastAsia="Times New Roman" w:hAnsi="Arial" w:cs="Arial"/>
                <w:b/>
                <w:sz w:val="20"/>
                <w:szCs w:val="20"/>
                <w:lang w:eastAsia="es-ES"/>
              </w:rPr>
              <w:t>Tabla 1 Acciones Realizadas</w:t>
            </w:r>
          </w:p>
        </w:tc>
      </w:tr>
      <w:tr w:rsidR="00DA62C0" w:rsidRPr="00DA62C0" w:rsidTr="00746DC0">
        <w:trPr>
          <w:trHeight w:val="825"/>
        </w:trPr>
        <w:tc>
          <w:tcPr>
            <w:tcW w:w="2358" w:type="pct"/>
            <w:shd w:val="clear" w:color="auto" w:fill="auto"/>
            <w:hideMark/>
          </w:tcPr>
          <w:p w:rsidR="00DA62C0" w:rsidRPr="00DA62C0" w:rsidRDefault="00DA62C0" w:rsidP="00DA62C0">
            <w:pPr>
              <w:spacing w:after="0" w:line="240" w:lineRule="auto"/>
              <w:jc w:val="both"/>
              <w:rPr>
                <w:rFonts w:ascii="Arial" w:eastAsia="Times New Roman" w:hAnsi="Arial" w:cs="Arial"/>
                <w:b/>
                <w:sz w:val="20"/>
                <w:szCs w:val="20"/>
                <w:lang w:eastAsia="es-ES"/>
              </w:rPr>
            </w:pPr>
            <w:r w:rsidRPr="00DA62C0">
              <w:rPr>
                <w:rFonts w:ascii="Arial" w:eastAsia="Times New Roman" w:hAnsi="Arial" w:cs="Arial"/>
                <w:b/>
                <w:sz w:val="20"/>
                <w:szCs w:val="20"/>
                <w:lang w:eastAsia="es-ES"/>
              </w:rPr>
              <w:t>a) Actividades realizadas:</w:t>
            </w:r>
          </w:p>
        </w:tc>
        <w:tc>
          <w:tcPr>
            <w:tcW w:w="2642" w:type="pct"/>
            <w:shd w:val="clear" w:color="auto" w:fill="auto"/>
          </w:tcPr>
          <w:p w:rsidR="00DA62C0" w:rsidRPr="00DA62C0" w:rsidRDefault="00DA62C0" w:rsidP="00DA62C0">
            <w:pPr>
              <w:spacing w:after="0" w:line="240" w:lineRule="auto"/>
              <w:jc w:val="both"/>
              <w:rPr>
                <w:rFonts w:ascii="Arial" w:eastAsia="Times New Roman" w:hAnsi="Arial" w:cs="Arial"/>
                <w:sz w:val="20"/>
                <w:szCs w:val="20"/>
                <w:lang w:eastAsia="es-ES"/>
              </w:rPr>
            </w:pPr>
            <w:r w:rsidRPr="00DA62C0">
              <w:rPr>
                <w:rFonts w:ascii="Arial" w:eastAsia="Times New Roman" w:hAnsi="Arial" w:cs="Arial"/>
                <w:sz w:val="20"/>
                <w:szCs w:val="20"/>
                <w:lang w:eastAsia="es-ES"/>
              </w:rPr>
              <w:t>- El proceso de formalización legal de la contratación inició en enero.</w:t>
            </w:r>
          </w:p>
          <w:p w:rsidR="00DA62C0" w:rsidRPr="00DA62C0" w:rsidRDefault="00DA62C0" w:rsidP="00DA62C0">
            <w:pPr>
              <w:spacing w:after="0" w:line="240" w:lineRule="auto"/>
              <w:jc w:val="both"/>
              <w:rPr>
                <w:rFonts w:ascii="Arial" w:eastAsia="Times New Roman" w:hAnsi="Arial" w:cs="Arial"/>
                <w:sz w:val="20"/>
                <w:szCs w:val="20"/>
                <w:lang w:eastAsia="es-ES"/>
              </w:rPr>
            </w:pPr>
            <w:r w:rsidRPr="00DA62C0">
              <w:rPr>
                <w:rFonts w:ascii="Arial" w:eastAsia="Times New Roman" w:hAnsi="Arial" w:cs="Arial"/>
                <w:sz w:val="20"/>
                <w:szCs w:val="20"/>
                <w:lang w:eastAsia="es-ES"/>
              </w:rPr>
              <w:t>- El proceso de implementación del sistema inició en febrero.</w:t>
            </w:r>
          </w:p>
          <w:p w:rsidR="00DA62C0" w:rsidRPr="00DA62C0" w:rsidRDefault="00DA62C0" w:rsidP="00DA62C0">
            <w:pPr>
              <w:spacing w:after="0" w:line="240" w:lineRule="auto"/>
              <w:jc w:val="both"/>
              <w:rPr>
                <w:rFonts w:ascii="Arial" w:eastAsia="Times New Roman" w:hAnsi="Arial" w:cs="Arial"/>
                <w:sz w:val="20"/>
                <w:szCs w:val="20"/>
                <w:lang w:eastAsia="es-ES"/>
              </w:rPr>
            </w:pPr>
            <w:r w:rsidRPr="00DA62C0">
              <w:rPr>
                <w:rFonts w:ascii="Arial" w:eastAsia="Times New Roman" w:hAnsi="Arial" w:cs="Arial"/>
                <w:sz w:val="20"/>
                <w:szCs w:val="20"/>
                <w:lang w:eastAsia="es-ES"/>
              </w:rPr>
              <w:t>- En los meses de febrero a setiembre 2017, se llevó a cabo el análisis de la estrategia de implementación del sistema, así como una serie de definiciones generales, entre las cuales se incluye el catálogo contable que debe incorporarse al nuevo sistema, el cual  debe estar alineado con la implementación de las NIC-SP.</w:t>
            </w:r>
          </w:p>
          <w:p w:rsidR="00DA62C0" w:rsidRPr="00DA62C0" w:rsidRDefault="00DA62C0" w:rsidP="00DA62C0">
            <w:pPr>
              <w:spacing w:after="0" w:line="240" w:lineRule="auto"/>
              <w:jc w:val="both"/>
              <w:rPr>
                <w:rFonts w:ascii="Arial" w:eastAsia="Times New Roman" w:hAnsi="Arial" w:cs="Arial"/>
                <w:sz w:val="20"/>
                <w:szCs w:val="20"/>
                <w:lang w:eastAsia="es-ES"/>
              </w:rPr>
            </w:pPr>
            <w:r w:rsidRPr="00DA62C0">
              <w:rPr>
                <w:rFonts w:ascii="Arial" w:eastAsia="Times New Roman" w:hAnsi="Arial" w:cs="Arial"/>
                <w:sz w:val="20"/>
                <w:szCs w:val="20"/>
                <w:lang w:eastAsia="es-ES"/>
              </w:rPr>
              <w:t xml:space="preserve">- Se realizaron y concluyeron las capacitaciones. </w:t>
            </w:r>
          </w:p>
          <w:p w:rsidR="00DA62C0" w:rsidRPr="00DA62C0" w:rsidRDefault="00DA62C0" w:rsidP="00DA62C0">
            <w:pPr>
              <w:spacing w:after="0" w:line="240" w:lineRule="auto"/>
              <w:jc w:val="both"/>
              <w:rPr>
                <w:rFonts w:ascii="Arial" w:eastAsia="Times New Roman" w:hAnsi="Arial" w:cs="Arial"/>
                <w:sz w:val="20"/>
                <w:szCs w:val="20"/>
                <w:lang w:eastAsia="es-ES"/>
              </w:rPr>
            </w:pPr>
            <w:r w:rsidRPr="00DA62C0">
              <w:rPr>
                <w:rFonts w:ascii="Arial" w:eastAsia="Times New Roman" w:hAnsi="Arial" w:cs="Arial"/>
                <w:sz w:val="20"/>
                <w:szCs w:val="20"/>
                <w:lang w:eastAsia="es-ES"/>
              </w:rPr>
              <w:t xml:space="preserve">- Se inició la etapa de pruebas y adaptaciones. </w:t>
            </w:r>
          </w:p>
          <w:p w:rsidR="00DA62C0" w:rsidRPr="00DA62C0" w:rsidRDefault="00DA62C0" w:rsidP="00DA62C0">
            <w:pPr>
              <w:spacing w:after="0" w:line="240" w:lineRule="auto"/>
              <w:jc w:val="both"/>
              <w:rPr>
                <w:rFonts w:ascii="Arial" w:eastAsia="Times New Roman" w:hAnsi="Arial" w:cs="Arial"/>
                <w:sz w:val="20"/>
                <w:szCs w:val="20"/>
                <w:lang w:eastAsia="es-ES"/>
              </w:rPr>
            </w:pPr>
            <w:r w:rsidRPr="00DA62C0">
              <w:rPr>
                <w:rFonts w:ascii="Arial" w:eastAsia="Times New Roman" w:hAnsi="Arial" w:cs="Arial"/>
                <w:sz w:val="20"/>
                <w:szCs w:val="20"/>
                <w:lang w:eastAsia="es-ES"/>
              </w:rPr>
              <w:t>- Se completó el Catálogo Contable, según lineamientos de la Contabilidad Nacional y se trabaja en la homologación de las cuentas, la depuración y migración de los datos.</w:t>
            </w:r>
          </w:p>
          <w:p w:rsidR="00DA62C0" w:rsidRPr="00DA62C0" w:rsidRDefault="00DA62C0" w:rsidP="00DA62C0">
            <w:pPr>
              <w:spacing w:after="0" w:line="240" w:lineRule="auto"/>
              <w:jc w:val="both"/>
              <w:rPr>
                <w:rFonts w:ascii="Arial" w:eastAsia="Times New Roman" w:hAnsi="Arial" w:cs="Arial"/>
                <w:sz w:val="20"/>
                <w:szCs w:val="20"/>
                <w:lang w:eastAsia="es-ES"/>
              </w:rPr>
            </w:pPr>
          </w:p>
        </w:tc>
      </w:tr>
      <w:tr w:rsidR="00DA62C0" w:rsidRPr="00DA62C0" w:rsidTr="00746DC0">
        <w:trPr>
          <w:trHeight w:val="705"/>
        </w:trPr>
        <w:tc>
          <w:tcPr>
            <w:tcW w:w="2358" w:type="pct"/>
            <w:shd w:val="clear" w:color="auto" w:fill="auto"/>
            <w:hideMark/>
          </w:tcPr>
          <w:p w:rsidR="00DA62C0" w:rsidRPr="00DA62C0" w:rsidRDefault="00DA62C0" w:rsidP="00DA62C0">
            <w:pPr>
              <w:spacing w:after="0" w:line="240" w:lineRule="auto"/>
              <w:jc w:val="both"/>
              <w:rPr>
                <w:rFonts w:ascii="Arial" w:eastAsia="Times New Roman" w:hAnsi="Arial" w:cs="Arial"/>
                <w:b/>
                <w:sz w:val="20"/>
                <w:szCs w:val="20"/>
                <w:lang w:eastAsia="es-ES"/>
              </w:rPr>
            </w:pPr>
            <w:r w:rsidRPr="00DA62C0">
              <w:rPr>
                <w:rFonts w:ascii="Arial" w:eastAsia="Times New Roman" w:hAnsi="Arial" w:cs="Arial"/>
                <w:b/>
                <w:sz w:val="20"/>
                <w:szCs w:val="20"/>
                <w:lang w:eastAsia="es-ES"/>
              </w:rPr>
              <w:t xml:space="preserve">b) Limitaciones: </w:t>
            </w:r>
          </w:p>
        </w:tc>
        <w:tc>
          <w:tcPr>
            <w:tcW w:w="2642" w:type="pct"/>
            <w:shd w:val="clear" w:color="auto" w:fill="auto"/>
          </w:tcPr>
          <w:p w:rsidR="00DA62C0" w:rsidRPr="00DA62C0" w:rsidRDefault="00DA62C0" w:rsidP="00DA62C0">
            <w:pPr>
              <w:spacing w:after="0" w:line="240" w:lineRule="auto"/>
              <w:jc w:val="both"/>
              <w:rPr>
                <w:rFonts w:ascii="Arial" w:eastAsia="Times New Roman" w:hAnsi="Arial" w:cs="Arial"/>
                <w:sz w:val="20"/>
                <w:szCs w:val="20"/>
                <w:lang w:eastAsia="es-ES"/>
              </w:rPr>
            </w:pPr>
            <w:r w:rsidRPr="00DA62C0">
              <w:rPr>
                <w:rFonts w:ascii="Arial" w:eastAsia="Times New Roman" w:hAnsi="Arial" w:cs="Arial"/>
                <w:sz w:val="20"/>
                <w:szCs w:val="20"/>
                <w:lang w:eastAsia="es-ES"/>
              </w:rPr>
              <w:t xml:space="preserve">El proceso ha requerido ajustes, una vez puesto en práctica. </w:t>
            </w:r>
          </w:p>
        </w:tc>
      </w:tr>
      <w:tr w:rsidR="00DA62C0" w:rsidRPr="00DA62C0" w:rsidTr="00746DC0">
        <w:trPr>
          <w:trHeight w:val="471"/>
        </w:trPr>
        <w:tc>
          <w:tcPr>
            <w:tcW w:w="2358" w:type="pct"/>
            <w:shd w:val="clear" w:color="auto" w:fill="auto"/>
            <w:hideMark/>
          </w:tcPr>
          <w:p w:rsidR="00DA62C0" w:rsidRPr="00DA62C0" w:rsidRDefault="00DA62C0" w:rsidP="00DA62C0">
            <w:pPr>
              <w:spacing w:after="0" w:line="240" w:lineRule="auto"/>
              <w:jc w:val="both"/>
              <w:rPr>
                <w:rFonts w:ascii="Arial" w:eastAsia="Times New Roman" w:hAnsi="Arial" w:cs="Arial"/>
                <w:b/>
                <w:sz w:val="20"/>
                <w:szCs w:val="20"/>
                <w:lang w:eastAsia="es-ES"/>
              </w:rPr>
            </w:pPr>
            <w:r w:rsidRPr="00DA62C0">
              <w:rPr>
                <w:rFonts w:ascii="Arial" w:eastAsia="Times New Roman" w:hAnsi="Arial" w:cs="Arial"/>
                <w:b/>
                <w:sz w:val="20"/>
                <w:szCs w:val="20"/>
                <w:lang w:eastAsia="es-ES"/>
              </w:rPr>
              <w:t>c) Medidas correctivas o acciones de mejora (realizadas y por realizar) para el logro de la meta:</w:t>
            </w:r>
          </w:p>
          <w:p w:rsidR="00DA62C0" w:rsidRPr="00DA62C0" w:rsidRDefault="00DA62C0" w:rsidP="00DA62C0">
            <w:pPr>
              <w:spacing w:after="0" w:line="240" w:lineRule="auto"/>
              <w:jc w:val="both"/>
              <w:rPr>
                <w:rFonts w:ascii="Arial" w:eastAsia="Times New Roman" w:hAnsi="Arial" w:cs="Arial"/>
                <w:b/>
                <w:sz w:val="20"/>
                <w:szCs w:val="20"/>
                <w:lang w:eastAsia="es-ES"/>
              </w:rPr>
            </w:pPr>
          </w:p>
          <w:p w:rsidR="00DA62C0" w:rsidRPr="00DA62C0" w:rsidRDefault="00DA62C0" w:rsidP="00DA62C0">
            <w:pPr>
              <w:spacing w:after="0" w:line="240" w:lineRule="auto"/>
              <w:jc w:val="both"/>
              <w:rPr>
                <w:rFonts w:ascii="Arial" w:eastAsia="Times New Roman" w:hAnsi="Arial" w:cs="Arial"/>
                <w:b/>
                <w:sz w:val="20"/>
                <w:szCs w:val="20"/>
                <w:lang w:eastAsia="es-ES"/>
              </w:rPr>
            </w:pPr>
          </w:p>
        </w:tc>
        <w:tc>
          <w:tcPr>
            <w:tcW w:w="2642" w:type="pct"/>
            <w:shd w:val="clear" w:color="auto" w:fill="auto"/>
          </w:tcPr>
          <w:p w:rsidR="00DA62C0" w:rsidRPr="00DA62C0" w:rsidRDefault="00DA62C0" w:rsidP="00DA62C0">
            <w:pPr>
              <w:spacing w:after="0" w:line="240" w:lineRule="auto"/>
              <w:jc w:val="both"/>
              <w:rPr>
                <w:rFonts w:ascii="Arial" w:eastAsia="Times New Roman" w:hAnsi="Arial" w:cs="Arial"/>
                <w:sz w:val="20"/>
                <w:szCs w:val="20"/>
                <w:lang w:eastAsia="es-ES"/>
              </w:rPr>
            </w:pPr>
            <w:r w:rsidRPr="00DA62C0">
              <w:rPr>
                <w:rFonts w:ascii="Arial" w:eastAsia="Times New Roman" w:hAnsi="Arial" w:cs="Arial"/>
                <w:sz w:val="20"/>
                <w:szCs w:val="20"/>
                <w:lang w:eastAsia="es-ES"/>
              </w:rPr>
              <w:t xml:space="preserve">Las actividades programadas se han realizado de acuerdo con el cronograma y las acciones que presentan algún atraso se ejecutan en forma paralela, de acuerdo con el avance del desarrollo del sistema, </w:t>
            </w:r>
          </w:p>
        </w:tc>
      </w:tr>
      <w:tr w:rsidR="00DA62C0" w:rsidRPr="00DA62C0" w:rsidTr="00746DC0">
        <w:trPr>
          <w:trHeight w:val="850"/>
        </w:trPr>
        <w:tc>
          <w:tcPr>
            <w:tcW w:w="2358" w:type="pct"/>
            <w:shd w:val="clear" w:color="auto" w:fill="auto"/>
          </w:tcPr>
          <w:p w:rsidR="00DA62C0" w:rsidRPr="00DA62C0" w:rsidRDefault="00DA62C0" w:rsidP="00DA62C0">
            <w:pPr>
              <w:spacing w:after="0" w:line="240" w:lineRule="auto"/>
              <w:jc w:val="both"/>
              <w:rPr>
                <w:rFonts w:ascii="Arial" w:eastAsia="Times New Roman" w:hAnsi="Arial" w:cs="Arial"/>
                <w:b/>
                <w:sz w:val="20"/>
                <w:szCs w:val="20"/>
                <w:lang w:eastAsia="es-ES"/>
              </w:rPr>
            </w:pPr>
            <w:r w:rsidRPr="00DA62C0">
              <w:rPr>
                <w:rFonts w:ascii="Arial" w:eastAsia="Times New Roman" w:hAnsi="Arial" w:cs="Arial"/>
                <w:b/>
                <w:sz w:val="20"/>
                <w:szCs w:val="20"/>
                <w:lang w:eastAsia="es-ES"/>
              </w:rPr>
              <w:t>Observaciones:</w:t>
            </w:r>
          </w:p>
        </w:tc>
        <w:tc>
          <w:tcPr>
            <w:tcW w:w="2642" w:type="pct"/>
            <w:shd w:val="clear" w:color="auto" w:fill="auto"/>
          </w:tcPr>
          <w:p w:rsidR="00DA62C0" w:rsidRPr="00DA62C0" w:rsidRDefault="00DA62C0" w:rsidP="00DA62C0">
            <w:pPr>
              <w:spacing w:after="0" w:line="240" w:lineRule="auto"/>
              <w:jc w:val="both"/>
              <w:rPr>
                <w:rFonts w:ascii="Arial" w:eastAsia="Times New Roman" w:hAnsi="Arial" w:cs="Arial"/>
                <w:sz w:val="20"/>
                <w:szCs w:val="20"/>
                <w:lang w:eastAsia="es-ES"/>
              </w:rPr>
            </w:pPr>
            <w:r w:rsidRPr="00DA62C0">
              <w:rPr>
                <w:rFonts w:ascii="Arial" w:eastAsia="Times New Roman" w:hAnsi="Arial" w:cs="Arial"/>
                <w:sz w:val="20"/>
                <w:szCs w:val="20"/>
                <w:lang w:eastAsia="es-ES"/>
              </w:rPr>
              <w:t>- La disponibilidad del personal ha procurado la mínima afectación del servicio.</w:t>
            </w:r>
          </w:p>
          <w:p w:rsidR="00DA62C0" w:rsidRPr="00DA62C0" w:rsidRDefault="00DA62C0" w:rsidP="00DA62C0">
            <w:pPr>
              <w:spacing w:after="0" w:line="240" w:lineRule="auto"/>
              <w:jc w:val="both"/>
              <w:rPr>
                <w:rFonts w:ascii="Arial" w:eastAsia="Times New Roman" w:hAnsi="Arial" w:cs="Arial"/>
                <w:sz w:val="20"/>
                <w:szCs w:val="20"/>
                <w:lang w:eastAsia="es-ES"/>
              </w:rPr>
            </w:pPr>
            <w:r w:rsidRPr="00DA62C0">
              <w:rPr>
                <w:rFonts w:ascii="Arial" w:eastAsia="Times New Roman" w:hAnsi="Arial" w:cs="Arial"/>
                <w:sz w:val="20"/>
                <w:szCs w:val="20"/>
                <w:lang w:eastAsia="es-ES"/>
              </w:rPr>
              <w:t>- El seguimiento del proyecto lo realiza la Gerencia y la Subgerencia.</w:t>
            </w:r>
          </w:p>
          <w:p w:rsidR="00DA62C0" w:rsidRPr="00DA62C0" w:rsidRDefault="00DA62C0" w:rsidP="00DA62C0">
            <w:pPr>
              <w:spacing w:after="0" w:line="240" w:lineRule="auto"/>
              <w:jc w:val="both"/>
              <w:rPr>
                <w:rFonts w:ascii="Arial" w:eastAsia="Times New Roman" w:hAnsi="Arial" w:cs="Arial"/>
                <w:sz w:val="20"/>
                <w:szCs w:val="20"/>
                <w:lang w:eastAsia="es-ES"/>
              </w:rPr>
            </w:pPr>
          </w:p>
        </w:tc>
      </w:tr>
    </w:tbl>
    <w:p w:rsidR="00DA62C0" w:rsidRPr="00DA62C0" w:rsidRDefault="00DA62C0" w:rsidP="00DA62C0">
      <w:pPr>
        <w:spacing w:after="0" w:line="240" w:lineRule="auto"/>
        <w:jc w:val="both"/>
        <w:rPr>
          <w:rFonts w:ascii="Arial" w:eastAsia="Times New Roman" w:hAnsi="Arial" w:cs="Arial"/>
          <w:b/>
          <w:sz w:val="20"/>
          <w:szCs w:val="20"/>
          <w:lang w:eastAsia="es-ES"/>
        </w:rPr>
      </w:pPr>
    </w:p>
    <w:p w:rsidR="00DA62C0" w:rsidRPr="00DA62C0" w:rsidRDefault="00DA62C0" w:rsidP="00DA62C0">
      <w:pPr>
        <w:spacing w:after="0" w:line="240" w:lineRule="auto"/>
        <w:jc w:val="both"/>
        <w:rPr>
          <w:rFonts w:ascii="Arial" w:eastAsia="Times New Roman" w:hAnsi="Arial" w:cs="Arial"/>
          <w:sz w:val="18"/>
          <w:szCs w:val="18"/>
          <w:lang w:eastAsia="es-ES"/>
        </w:rPr>
      </w:pPr>
      <w:r w:rsidRPr="00DA62C0">
        <w:rPr>
          <w:rFonts w:ascii="Arial" w:eastAsia="Times New Roman" w:hAnsi="Arial" w:cs="Arial"/>
          <w:sz w:val="18"/>
          <w:szCs w:val="18"/>
          <w:lang w:eastAsia="es-ES"/>
        </w:rPr>
        <w:t>Nota Fuente: Informe de rendimiento de cuentas de área. (2017)</w:t>
      </w:r>
    </w:p>
    <w:p w:rsidR="00DA62C0" w:rsidRDefault="00DA62C0">
      <w:pPr>
        <w:rPr>
          <w:rFonts w:ascii="Arial" w:eastAsia="Times New Roman" w:hAnsi="Arial" w:cs="Arial"/>
          <w:sz w:val="20"/>
          <w:szCs w:val="20"/>
          <w:lang w:val="es-ES" w:eastAsia="es-ES"/>
        </w:rPr>
      </w:pPr>
      <w:r>
        <w:rPr>
          <w:rFonts w:ascii="Arial" w:eastAsia="Times New Roman" w:hAnsi="Arial" w:cs="Arial"/>
          <w:sz w:val="20"/>
          <w:szCs w:val="20"/>
          <w:lang w:val="es-ES" w:eastAsia="es-ES"/>
        </w:rPr>
        <w:br w:type="page"/>
      </w:r>
    </w:p>
    <w:p w:rsidR="001E2626" w:rsidRDefault="001E2626" w:rsidP="007838FA">
      <w:pPr>
        <w:spacing w:after="0" w:line="240" w:lineRule="auto"/>
        <w:jc w:val="both"/>
        <w:rPr>
          <w:rFonts w:ascii="Arial" w:eastAsia="Times New Roman" w:hAnsi="Arial" w:cs="Arial"/>
          <w:b/>
          <w:sz w:val="20"/>
          <w:szCs w:val="20"/>
          <w:lang w:eastAsia="es-ES"/>
        </w:rPr>
      </w:pPr>
    </w:p>
    <w:p w:rsidR="00DA62C0" w:rsidRPr="00DA62C0" w:rsidRDefault="00DA62C0" w:rsidP="007838FA">
      <w:pPr>
        <w:spacing w:after="0" w:line="240" w:lineRule="auto"/>
        <w:jc w:val="both"/>
        <w:rPr>
          <w:rFonts w:ascii="Arial" w:eastAsia="Times New Roman" w:hAnsi="Arial" w:cs="Arial"/>
          <w:b/>
          <w:sz w:val="20"/>
          <w:szCs w:val="20"/>
          <w:lang w:eastAsia="es-ES"/>
        </w:rPr>
      </w:pPr>
      <w:r w:rsidRPr="00DA62C0">
        <w:rPr>
          <w:rFonts w:ascii="Arial" w:eastAsia="Times New Roman" w:hAnsi="Arial" w:cs="Arial"/>
          <w:b/>
          <w:sz w:val="20"/>
          <w:szCs w:val="20"/>
          <w:lang w:eastAsia="es-ES"/>
        </w:rPr>
        <w:t>Indicador N°3 Porcentaje de disminución en accidentabilidad en relación con el 2016</w:t>
      </w:r>
    </w:p>
    <w:p w:rsidR="00DA62C0" w:rsidRPr="00DA62C0" w:rsidRDefault="00DA62C0" w:rsidP="00DA62C0">
      <w:pPr>
        <w:spacing w:after="0" w:line="240" w:lineRule="auto"/>
        <w:rPr>
          <w:rFonts w:ascii="Arial" w:eastAsia="Times New Roman" w:hAnsi="Arial" w:cs="Arial"/>
          <w:b/>
          <w:sz w:val="20"/>
          <w:szCs w:val="20"/>
          <w:lang w:eastAsia="es-ES"/>
        </w:rPr>
      </w:pPr>
    </w:p>
    <w:p w:rsidR="00DA62C0" w:rsidRPr="00DA62C0" w:rsidRDefault="00DA62C0" w:rsidP="00DA62C0">
      <w:pPr>
        <w:spacing w:after="0" w:line="240" w:lineRule="auto"/>
        <w:rPr>
          <w:rFonts w:ascii="Arial" w:eastAsia="Times New Roman" w:hAnsi="Arial" w:cs="Arial"/>
          <w:sz w:val="20"/>
          <w:szCs w:val="20"/>
          <w:lang w:eastAsia="es-ES"/>
        </w:rPr>
      </w:pPr>
      <w:r w:rsidRPr="00DA62C0">
        <w:rPr>
          <w:rFonts w:ascii="Arial" w:eastAsia="Times New Roman" w:hAnsi="Arial" w:cs="Arial"/>
          <w:sz w:val="20"/>
          <w:szCs w:val="20"/>
          <w:lang w:eastAsia="es-ES"/>
        </w:rPr>
        <w:t xml:space="preserve">En el año 2017 se reportaron 2 accidentes laborales, cifra que se mantuvo igual a la del 2016, por lo tanto, el porcentaje de accidentabilidad se mantuvo igual. </w:t>
      </w:r>
    </w:p>
    <w:p w:rsidR="00DA62C0" w:rsidRPr="00DA62C0" w:rsidRDefault="00DA62C0" w:rsidP="00DA62C0">
      <w:pPr>
        <w:spacing w:after="0" w:line="240" w:lineRule="auto"/>
        <w:rPr>
          <w:rFonts w:ascii="Arial" w:eastAsia="Times New Roman" w:hAnsi="Arial" w:cs="Arial"/>
          <w:b/>
          <w:sz w:val="20"/>
          <w:szCs w:val="20"/>
          <w:lang w:eastAsia="es-ES"/>
        </w:rPr>
      </w:pPr>
    </w:p>
    <w:p w:rsidR="00DA62C0" w:rsidRPr="00DA62C0" w:rsidRDefault="00DA62C0" w:rsidP="00DA62C0">
      <w:pPr>
        <w:spacing w:after="0" w:line="240" w:lineRule="auto"/>
        <w:rPr>
          <w:rFonts w:ascii="Arial" w:eastAsia="Times New Roman" w:hAnsi="Arial" w:cs="Arial"/>
          <w:b/>
          <w:sz w:val="20"/>
          <w:szCs w:val="20"/>
          <w:lang w:eastAsia="es-ES"/>
        </w:rPr>
      </w:pPr>
    </w:p>
    <w:tbl>
      <w:tblPr>
        <w:tblW w:w="9103" w:type="dxa"/>
        <w:tblBorders>
          <w:insideH w:val="single" w:sz="6" w:space="0" w:color="000000"/>
          <w:insideV w:val="single" w:sz="6" w:space="0" w:color="000000"/>
        </w:tblBorders>
        <w:tblLook w:val="04A0" w:firstRow="1" w:lastRow="0" w:firstColumn="1" w:lastColumn="0" w:noHBand="0" w:noVBand="1"/>
      </w:tblPr>
      <w:tblGrid>
        <w:gridCol w:w="4293"/>
        <w:gridCol w:w="4810"/>
      </w:tblGrid>
      <w:tr w:rsidR="00DA62C0" w:rsidRPr="00DA62C0" w:rsidTr="00746DC0">
        <w:trPr>
          <w:trHeight w:val="270"/>
        </w:trPr>
        <w:tc>
          <w:tcPr>
            <w:tcW w:w="5000" w:type="pct"/>
            <w:gridSpan w:val="2"/>
            <w:shd w:val="clear" w:color="auto" w:fill="auto"/>
            <w:noWrap/>
            <w:hideMark/>
          </w:tcPr>
          <w:p w:rsidR="00DA62C0" w:rsidRPr="00DA62C0" w:rsidRDefault="00DA62C0" w:rsidP="00744CE6">
            <w:pPr>
              <w:spacing w:after="0" w:line="240" w:lineRule="auto"/>
              <w:jc w:val="center"/>
              <w:rPr>
                <w:rFonts w:ascii="Arial" w:eastAsia="Times New Roman" w:hAnsi="Arial" w:cs="Arial"/>
                <w:b/>
                <w:sz w:val="20"/>
                <w:szCs w:val="20"/>
                <w:lang w:eastAsia="es-ES"/>
              </w:rPr>
            </w:pPr>
            <w:r w:rsidRPr="00DA62C0">
              <w:rPr>
                <w:rFonts w:ascii="Arial" w:eastAsia="Times New Roman" w:hAnsi="Arial" w:cs="Arial"/>
                <w:b/>
                <w:sz w:val="20"/>
                <w:szCs w:val="20"/>
                <w:lang w:eastAsia="es-ES"/>
              </w:rPr>
              <w:t>Tabla 2. Acciones Realizadas</w:t>
            </w:r>
          </w:p>
        </w:tc>
      </w:tr>
      <w:tr w:rsidR="00DA62C0" w:rsidRPr="00DA62C0" w:rsidTr="00746DC0">
        <w:trPr>
          <w:trHeight w:val="825"/>
        </w:trPr>
        <w:tc>
          <w:tcPr>
            <w:tcW w:w="2358" w:type="pct"/>
            <w:shd w:val="clear" w:color="auto" w:fill="auto"/>
            <w:hideMark/>
          </w:tcPr>
          <w:p w:rsidR="00DA62C0" w:rsidRPr="00DA62C0" w:rsidRDefault="00DA62C0" w:rsidP="00DA62C0">
            <w:pPr>
              <w:spacing w:after="0" w:line="240" w:lineRule="auto"/>
              <w:rPr>
                <w:rFonts w:ascii="Arial" w:eastAsia="Times New Roman" w:hAnsi="Arial" w:cs="Arial"/>
                <w:b/>
                <w:sz w:val="20"/>
                <w:szCs w:val="20"/>
                <w:lang w:eastAsia="es-ES"/>
              </w:rPr>
            </w:pPr>
            <w:r w:rsidRPr="00DA62C0">
              <w:rPr>
                <w:rFonts w:ascii="Arial" w:eastAsia="Times New Roman" w:hAnsi="Arial" w:cs="Arial"/>
                <w:b/>
                <w:sz w:val="20"/>
                <w:szCs w:val="20"/>
                <w:lang w:eastAsia="es-ES"/>
              </w:rPr>
              <w:t>a) Actividades realizadas:</w:t>
            </w:r>
          </w:p>
          <w:p w:rsidR="00DA62C0" w:rsidRPr="00DA62C0" w:rsidRDefault="00DA62C0" w:rsidP="00DA62C0">
            <w:pPr>
              <w:spacing w:after="0" w:line="240" w:lineRule="auto"/>
              <w:rPr>
                <w:rFonts w:ascii="Arial" w:eastAsia="Times New Roman" w:hAnsi="Arial" w:cs="Arial"/>
                <w:b/>
                <w:sz w:val="20"/>
                <w:szCs w:val="20"/>
                <w:lang w:eastAsia="es-ES"/>
              </w:rPr>
            </w:pPr>
          </w:p>
        </w:tc>
        <w:tc>
          <w:tcPr>
            <w:tcW w:w="2642" w:type="pct"/>
            <w:shd w:val="clear" w:color="auto" w:fill="auto"/>
          </w:tcPr>
          <w:p w:rsidR="00DA62C0" w:rsidRPr="00DA62C0" w:rsidRDefault="00DA62C0" w:rsidP="00DA62C0">
            <w:pPr>
              <w:spacing w:after="0" w:line="240" w:lineRule="auto"/>
              <w:jc w:val="both"/>
              <w:rPr>
                <w:rFonts w:ascii="Arial" w:eastAsia="Times New Roman" w:hAnsi="Arial" w:cs="Arial"/>
                <w:sz w:val="20"/>
                <w:szCs w:val="20"/>
                <w:lang w:eastAsia="es-ES"/>
              </w:rPr>
            </w:pPr>
            <w:r w:rsidRPr="00DA62C0">
              <w:rPr>
                <w:rFonts w:ascii="Arial" w:eastAsia="Times New Roman" w:hAnsi="Arial" w:cs="Arial"/>
                <w:sz w:val="20"/>
                <w:szCs w:val="20"/>
                <w:lang w:eastAsia="es-ES"/>
              </w:rPr>
              <w:t>- Se recibieron dos reportes de accidentes, mediante el registro FDI-07 Reporte Interno de Accidente o Incidente Laboral.</w:t>
            </w:r>
          </w:p>
          <w:p w:rsidR="00DA62C0" w:rsidRPr="00DA62C0" w:rsidRDefault="00DA62C0" w:rsidP="00DA62C0">
            <w:pPr>
              <w:spacing w:after="0" w:line="240" w:lineRule="auto"/>
              <w:jc w:val="both"/>
              <w:rPr>
                <w:rFonts w:ascii="Arial" w:eastAsia="Times New Roman" w:hAnsi="Arial" w:cs="Arial"/>
                <w:sz w:val="20"/>
                <w:szCs w:val="20"/>
                <w:lang w:eastAsia="es-ES"/>
              </w:rPr>
            </w:pPr>
            <w:r w:rsidRPr="00DA62C0">
              <w:rPr>
                <w:rFonts w:ascii="Arial" w:eastAsia="Times New Roman" w:hAnsi="Arial" w:cs="Arial"/>
                <w:sz w:val="20"/>
                <w:szCs w:val="20"/>
                <w:lang w:eastAsia="es-ES"/>
              </w:rPr>
              <w:t xml:space="preserve">Entre las causas se encuentran factores de riesgo ergonómicos en el puesto de trabajo, así como la falta de ordenamiento del área de trabajo. Ambos casos recibieron valoración médica por parte del INS. </w:t>
            </w:r>
          </w:p>
          <w:p w:rsidR="00DA62C0" w:rsidRPr="00DA62C0" w:rsidRDefault="00DA62C0" w:rsidP="00DA62C0">
            <w:pPr>
              <w:spacing w:after="0" w:line="240" w:lineRule="auto"/>
              <w:jc w:val="both"/>
              <w:rPr>
                <w:rFonts w:ascii="Arial" w:eastAsia="Times New Roman" w:hAnsi="Arial" w:cs="Arial"/>
                <w:sz w:val="20"/>
                <w:szCs w:val="20"/>
                <w:lang w:eastAsia="es-ES"/>
              </w:rPr>
            </w:pPr>
            <w:r w:rsidRPr="00DA62C0">
              <w:rPr>
                <w:rFonts w:ascii="Arial" w:eastAsia="Times New Roman" w:hAnsi="Arial" w:cs="Arial"/>
                <w:sz w:val="20"/>
                <w:szCs w:val="20"/>
                <w:lang w:eastAsia="es-ES"/>
              </w:rPr>
              <w:t xml:space="preserve">- Se incluyeron dentro de la cobertura de riesgos del trabajo 5 accidentes catalogados como riesgos en trayecto. Estos casos son incluidos dentro del numeral 196 del Código de Trabajo y jurisprudencia, cuando se incurra en riesgos en el trayecto del centro de trabajo al domicilio del funcionario y viceversa. </w:t>
            </w:r>
          </w:p>
          <w:p w:rsidR="00DA62C0" w:rsidRPr="00DA62C0" w:rsidRDefault="00DA62C0" w:rsidP="00DA62C0">
            <w:pPr>
              <w:spacing w:after="0" w:line="240" w:lineRule="auto"/>
              <w:jc w:val="both"/>
              <w:rPr>
                <w:rFonts w:ascii="Arial" w:eastAsia="Times New Roman" w:hAnsi="Arial" w:cs="Arial"/>
                <w:sz w:val="20"/>
                <w:szCs w:val="20"/>
                <w:lang w:eastAsia="es-ES"/>
              </w:rPr>
            </w:pPr>
          </w:p>
        </w:tc>
      </w:tr>
      <w:tr w:rsidR="00DA62C0" w:rsidRPr="00DA62C0" w:rsidTr="00746DC0">
        <w:trPr>
          <w:trHeight w:val="705"/>
        </w:trPr>
        <w:tc>
          <w:tcPr>
            <w:tcW w:w="2358" w:type="pct"/>
            <w:shd w:val="clear" w:color="auto" w:fill="auto"/>
            <w:hideMark/>
          </w:tcPr>
          <w:p w:rsidR="00DA62C0" w:rsidRPr="00DA62C0" w:rsidRDefault="00DA62C0" w:rsidP="00DA62C0">
            <w:pPr>
              <w:spacing w:after="0" w:line="240" w:lineRule="auto"/>
              <w:rPr>
                <w:rFonts w:ascii="Arial" w:eastAsia="Times New Roman" w:hAnsi="Arial" w:cs="Arial"/>
                <w:b/>
                <w:sz w:val="20"/>
                <w:szCs w:val="20"/>
                <w:lang w:eastAsia="es-ES"/>
              </w:rPr>
            </w:pPr>
            <w:r w:rsidRPr="00DA62C0">
              <w:rPr>
                <w:rFonts w:ascii="Arial" w:eastAsia="Times New Roman" w:hAnsi="Arial" w:cs="Arial"/>
                <w:b/>
                <w:sz w:val="20"/>
                <w:szCs w:val="20"/>
                <w:lang w:eastAsia="es-ES"/>
              </w:rPr>
              <w:t xml:space="preserve">b) Limitaciones: </w:t>
            </w:r>
          </w:p>
          <w:p w:rsidR="00DA62C0" w:rsidRPr="00DA62C0" w:rsidRDefault="00DA62C0" w:rsidP="00DA62C0">
            <w:pPr>
              <w:spacing w:after="0" w:line="240" w:lineRule="auto"/>
              <w:rPr>
                <w:rFonts w:ascii="Arial" w:eastAsia="Times New Roman" w:hAnsi="Arial" w:cs="Arial"/>
                <w:b/>
                <w:sz w:val="20"/>
                <w:szCs w:val="20"/>
                <w:lang w:eastAsia="es-ES"/>
              </w:rPr>
            </w:pPr>
          </w:p>
        </w:tc>
        <w:tc>
          <w:tcPr>
            <w:tcW w:w="2642" w:type="pct"/>
            <w:shd w:val="clear" w:color="auto" w:fill="auto"/>
          </w:tcPr>
          <w:p w:rsidR="00DA62C0" w:rsidRPr="00DA62C0" w:rsidRDefault="00DA62C0" w:rsidP="00DA62C0">
            <w:pPr>
              <w:spacing w:after="0" w:line="240" w:lineRule="auto"/>
              <w:jc w:val="both"/>
              <w:rPr>
                <w:rFonts w:ascii="Arial" w:eastAsia="Times New Roman" w:hAnsi="Arial" w:cs="Arial"/>
                <w:sz w:val="20"/>
                <w:szCs w:val="20"/>
                <w:lang w:eastAsia="es-ES"/>
              </w:rPr>
            </w:pPr>
            <w:r w:rsidRPr="00DA62C0">
              <w:rPr>
                <w:rFonts w:ascii="Arial" w:eastAsia="Times New Roman" w:hAnsi="Arial" w:cs="Arial"/>
                <w:sz w:val="20"/>
                <w:szCs w:val="20"/>
                <w:lang w:eastAsia="es-ES"/>
              </w:rPr>
              <w:t>Antigüedad del mobiliario y equipamiento en los puestos de trabajo de los funcionarios.</w:t>
            </w:r>
          </w:p>
          <w:p w:rsidR="00DA62C0" w:rsidRPr="00DA62C0" w:rsidRDefault="00DA62C0" w:rsidP="00DA62C0">
            <w:pPr>
              <w:spacing w:after="0" w:line="240" w:lineRule="auto"/>
              <w:jc w:val="both"/>
              <w:rPr>
                <w:rFonts w:ascii="Arial" w:eastAsia="Times New Roman" w:hAnsi="Arial" w:cs="Arial"/>
                <w:sz w:val="20"/>
                <w:szCs w:val="20"/>
                <w:lang w:eastAsia="es-ES"/>
              </w:rPr>
            </w:pPr>
          </w:p>
        </w:tc>
      </w:tr>
      <w:tr w:rsidR="00DA62C0" w:rsidRPr="00DA62C0" w:rsidTr="00746DC0">
        <w:trPr>
          <w:trHeight w:val="471"/>
        </w:trPr>
        <w:tc>
          <w:tcPr>
            <w:tcW w:w="2358" w:type="pct"/>
            <w:shd w:val="clear" w:color="auto" w:fill="auto"/>
            <w:hideMark/>
          </w:tcPr>
          <w:p w:rsidR="00DA62C0" w:rsidRPr="00DA62C0" w:rsidRDefault="00DA62C0" w:rsidP="00DA62C0">
            <w:pPr>
              <w:spacing w:after="0" w:line="240" w:lineRule="auto"/>
              <w:rPr>
                <w:rFonts w:ascii="Arial" w:eastAsia="Times New Roman" w:hAnsi="Arial" w:cs="Arial"/>
                <w:b/>
                <w:sz w:val="20"/>
                <w:szCs w:val="20"/>
                <w:lang w:eastAsia="es-ES"/>
              </w:rPr>
            </w:pPr>
            <w:r w:rsidRPr="00DA62C0">
              <w:rPr>
                <w:rFonts w:ascii="Arial" w:eastAsia="Times New Roman" w:hAnsi="Arial" w:cs="Arial"/>
                <w:b/>
                <w:sz w:val="20"/>
                <w:szCs w:val="20"/>
                <w:lang w:eastAsia="es-ES"/>
              </w:rPr>
              <w:t>c) Medidas correctivas o acciones de mejora (realizadas y por realizar) para el logro de la meta:</w:t>
            </w:r>
          </w:p>
          <w:p w:rsidR="00DA62C0" w:rsidRPr="00DA62C0" w:rsidRDefault="00DA62C0" w:rsidP="00DA62C0">
            <w:pPr>
              <w:spacing w:after="0" w:line="240" w:lineRule="auto"/>
              <w:rPr>
                <w:rFonts w:ascii="Arial" w:eastAsia="Times New Roman" w:hAnsi="Arial" w:cs="Arial"/>
                <w:b/>
                <w:sz w:val="20"/>
                <w:szCs w:val="20"/>
                <w:lang w:eastAsia="es-ES"/>
              </w:rPr>
            </w:pPr>
          </w:p>
          <w:p w:rsidR="00DA62C0" w:rsidRPr="00DA62C0" w:rsidRDefault="00DA62C0" w:rsidP="00DA62C0">
            <w:pPr>
              <w:spacing w:after="0" w:line="240" w:lineRule="auto"/>
              <w:rPr>
                <w:rFonts w:ascii="Arial" w:eastAsia="Times New Roman" w:hAnsi="Arial" w:cs="Arial"/>
                <w:b/>
                <w:sz w:val="20"/>
                <w:szCs w:val="20"/>
                <w:lang w:eastAsia="es-ES"/>
              </w:rPr>
            </w:pPr>
          </w:p>
        </w:tc>
        <w:tc>
          <w:tcPr>
            <w:tcW w:w="2642" w:type="pct"/>
            <w:shd w:val="clear" w:color="auto" w:fill="auto"/>
          </w:tcPr>
          <w:p w:rsidR="00DA62C0" w:rsidRPr="00DA62C0" w:rsidRDefault="00DA62C0" w:rsidP="00DA62C0">
            <w:pPr>
              <w:spacing w:after="0" w:line="240" w:lineRule="auto"/>
              <w:jc w:val="both"/>
              <w:rPr>
                <w:rFonts w:ascii="Arial" w:eastAsia="Times New Roman" w:hAnsi="Arial" w:cs="Arial"/>
                <w:sz w:val="20"/>
                <w:szCs w:val="20"/>
                <w:lang w:eastAsia="es-ES"/>
              </w:rPr>
            </w:pPr>
            <w:r w:rsidRPr="00DA62C0">
              <w:rPr>
                <w:rFonts w:ascii="Arial" w:eastAsia="Times New Roman" w:hAnsi="Arial" w:cs="Arial"/>
                <w:sz w:val="20"/>
                <w:szCs w:val="20"/>
                <w:lang w:eastAsia="es-ES"/>
              </w:rPr>
              <w:t xml:space="preserve">Dentro de las acciones realizadas para prevenir accidentes y enfermedades laborales se realizaron las siguientes actividades: </w:t>
            </w:r>
          </w:p>
          <w:p w:rsidR="00DA62C0" w:rsidRPr="00DA62C0" w:rsidRDefault="00DA62C0" w:rsidP="00DA62C0">
            <w:pPr>
              <w:spacing w:after="0" w:line="240" w:lineRule="auto"/>
              <w:jc w:val="both"/>
              <w:rPr>
                <w:rFonts w:ascii="Arial" w:eastAsia="Times New Roman" w:hAnsi="Arial" w:cs="Arial"/>
                <w:sz w:val="20"/>
                <w:szCs w:val="20"/>
                <w:lang w:eastAsia="es-ES"/>
              </w:rPr>
            </w:pPr>
            <w:r w:rsidRPr="00DA62C0">
              <w:rPr>
                <w:rFonts w:ascii="Arial" w:eastAsia="Times New Roman" w:hAnsi="Arial" w:cs="Arial"/>
                <w:sz w:val="20"/>
                <w:szCs w:val="20"/>
                <w:lang w:eastAsia="es-ES"/>
              </w:rPr>
              <w:t xml:space="preserve">- Evaluaciones ergonómicas en los puestos de trabajo. </w:t>
            </w:r>
          </w:p>
          <w:p w:rsidR="00DA62C0" w:rsidRPr="00DA62C0" w:rsidRDefault="00DA62C0" w:rsidP="00DA62C0">
            <w:pPr>
              <w:spacing w:after="0" w:line="240" w:lineRule="auto"/>
              <w:jc w:val="both"/>
              <w:rPr>
                <w:rFonts w:ascii="Arial" w:eastAsia="Times New Roman" w:hAnsi="Arial" w:cs="Arial"/>
                <w:sz w:val="20"/>
                <w:szCs w:val="20"/>
                <w:lang w:eastAsia="es-ES"/>
              </w:rPr>
            </w:pPr>
            <w:r w:rsidRPr="00DA62C0">
              <w:rPr>
                <w:rFonts w:ascii="Arial" w:eastAsia="Times New Roman" w:hAnsi="Arial" w:cs="Arial"/>
                <w:sz w:val="20"/>
                <w:szCs w:val="20"/>
                <w:lang w:eastAsia="es-ES"/>
              </w:rPr>
              <w:t>- Dotación de equipos ergonómicos al personal.</w:t>
            </w:r>
          </w:p>
          <w:p w:rsidR="00DA62C0" w:rsidRPr="00DA62C0" w:rsidRDefault="00DA62C0" w:rsidP="00DA62C0">
            <w:pPr>
              <w:spacing w:after="0" w:line="240" w:lineRule="auto"/>
              <w:jc w:val="both"/>
              <w:rPr>
                <w:rFonts w:ascii="Arial" w:eastAsia="Times New Roman" w:hAnsi="Arial" w:cs="Arial"/>
                <w:sz w:val="20"/>
                <w:szCs w:val="20"/>
                <w:lang w:eastAsia="es-ES"/>
              </w:rPr>
            </w:pPr>
            <w:r w:rsidRPr="00DA62C0">
              <w:rPr>
                <w:rFonts w:ascii="Arial" w:eastAsia="Times New Roman" w:hAnsi="Arial" w:cs="Arial"/>
                <w:sz w:val="20"/>
                <w:szCs w:val="20"/>
                <w:lang w:eastAsia="es-ES"/>
              </w:rPr>
              <w:t xml:space="preserve">- Capacitación sobre reglas básicas para ordenar y ubicar los equipos de oficina y cómputo. </w:t>
            </w:r>
          </w:p>
          <w:p w:rsidR="00DA62C0" w:rsidRPr="00DA62C0" w:rsidRDefault="00DA62C0" w:rsidP="00DA62C0">
            <w:pPr>
              <w:spacing w:after="0" w:line="240" w:lineRule="auto"/>
              <w:jc w:val="both"/>
              <w:rPr>
                <w:rFonts w:ascii="Arial" w:eastAsia="Times New Roman" w:hAnsi="Arial" w:cs="Arial"/>
                <w:sz w:val="20"/>
                <w:szCs w:val="20"/>
                <w:lang w:eastAsia="es-ES"/>
              </w:rPr>
            </w:pPr>
            <w:r w:rsidRPr="00DA62C0">
              <w:rPr>
                <w:rFonts w:ascii="Arial" w:eastAsia="Times New Roman" w:hAnsi="Arial" w:cs="Arial"/>
                <w:sz w:val="20"/>
                <w:szCs w:val="20"/>
                <w:lang w:eastAsia="es-ES"/>
              </w:rPr>
              <w:t xml:space="preserve"> - Adquisición de equipos de protección y  suministro al personal de mantenimiento y campo.</w:t>
            </w:r>
          </w:p>
          <w:p w:rsidR="00DA62C0" w:rsidRPr="00DA62C0" w:rsidRDefault="00DA62C0" w:rsidP="00DA62C0">
            <w:pPr>
              <w:spacing w:after="0" w:line="240" w:lineRule="auto"/>
              <w:jc w:val="both"/>
              <w:rPr>
                <w:rFonts w:ascii="Arial" w:eastAsia="Times New Roman" w:hAnsi="Arial" w:cs="Arial"/>
                <w:sz w:val="20"/>
                <w:szCs w:val="20"/>
                <w:lang w:eastAsia="es-ES"/>
              </w:rPr>
            </w:pPr>
            <w:r w:rsidRPr="00DA62C0">
              <w:rPr>
                <w:rFonts w:ascii="Arial" w:eastAsia="Times New Roman" w:hAnsi="Arial" w:cs="Arial"/>
                <w:sz w:val="20"/>
                <w:szCs w:val="20"/>
                <w:lang w:eastAsia="es-ES"/>
              </w:rPr>
              <w:t xml:space="preserve">- Instalación de </w:t>
            </w:r>
            <w:r w:rsidR="009E561D" w:rsidRPr="00DA62C0">
              <w:rPr>
                <w:rFonts w:ascii="Arial" w:eastAsia="Times New Roman" w:hAnsi="Arial" w:cs="Arial"/>
                <w:sz w:val="20"/>
                <w:szCs w:val="20"/>
                <w:lang w:eastAsia="es-ES"/>
              </w:rPr>
              <w:t>rótulos</w:t>
            </w:r>
            <w:r w:rsidRPr="00DA62C0">
              <w:rPr>
                <w:rFonts w:ascii="Arial" w:eastAsia="Times New Roman" w:hAnsi="Arial" w:cs="Arial"/>
                <w:sz w:val="20"/>
                <w:szCs w:val="20"/>
                <w:lang w:eastAsia="es-ES"/>
              </w:rPr>
              <w:t xml:space="preserve"> de prevención de riesgos.  </w:t>
            </w:r>
          </w:p>
          <w:p w:rsidR="00DA62C0" w:rsidRPr="00DA62C0" w:rsidRDefault="00DA62C0" w:rsidP="00DA62C0">
            <w:pPr>
              <w:spacing w:after="0" w:line="240" w:lineRule="auto"/>
              <w:jc w:val="both"/>
              <w:rPr>
                <w:rFonts w:ascii="Arial" w:eastAsia="Times New Roman" w:hAnsi="Arial" w:cs="Arial"/>
                <w:sz w:val="20"/>
                <w:szCs w:val="20"/>
                <w:lang w:eastAsia="es-ES"/>
              </w:rPr>
            </w:pPr>
            <w:r w:rsidRPr="00DA62C0">
              <w:rPr>
                <w:rFonts w:ascii="Arial" w:eastAsia="Times New Roman" w:hAnsi="Arial" w:cs="Arial"/>
                <w:sz w:val="20"/>
                <w:szCs w:val="20"/>
                <w:lang w:eastAsia="es-ES"/>
              </w:rPr>
              <w:t xml:space="preserve">- Evaluación de riesgos de caída en los trabajos de alturas del personal de Mantenimiento. </w:t>
            </w:r>
          </w:p>
          <w:p w:rsidR="00DA62C0" w:rsidRPr="00DA62C0" w:rsidRDefault="00DA62C0" w:rsidP="00DA62C0">
            <w:pPr>
              <w:spacing w:after="0" w:line="240" w:lineRule="auto"/>
              <w:jc w:val="both"/>
              <w:rPr>
                <w:rFonts w:ascii="Arial" w:eastAsia="Times New Roman" w:hAnsi="Arial" w:cs="Arial"/>
                <w:sz w:val="20"/>
                <w:szCs w:val="20"/>
                <w:lang w:eastAsia="es-ES"/>
              </w:rPr>
            </w:pPr>
          </w:p>
        </w:tc>
      </w:tr>
      <w:tr w:rsidR="00DA62C0" w:rsidRPr="00DA62C0" w:rsidTr="00746DC0">
        <w:trPr>
          <w:trHeight w:val="433"/>
        </w:trPr>
        <w:tc>
          <w:tcPr>
            <w:tcW w:w="2358" w:type="pct"/>
            <w:shd w:val="clear" w:color="auto" w:fill="auto"/>
          </w:tcPr>
          <w:p w:rsidR="00DA62C0" w:rsidRPr="00DA62C0" w:rsidRDefault="00DA62C0" w:rsidP="00DA62C0">
            <w:pPr>
              <w:spacing w:after="0" w:line="240" w:lineRule="auto"/>
              <w:rPr>
                <w:rFonts w:ascii="Arial" w:eastAsia="Times New Roman" w:hAnsi="Arial" w:cs="Arial"/>
                <w:b/>
                <w:sz w:val="20"/>
                <w:szCs w:val="20"/>
                <w:lang w:eastAsia="es-ES"/>
              </w:rPr>
            </w:pPr>
            <w:r w:rsidRPr="00DA62C0">
              <w:rPr>
                <w:rFonts w:ascii="Arial" w:eastAsia="Times New Roman" w:hAnsi="Arial" w:cs="Arial"/>
                <w:b/>
                <w:sz w:val="20"/>
                <w:szCs w:val="20"/>
                <w:lang w:eastAsia="es-ES"/>
              </w:rPr>
              <w:t>d) Observaciones:</w:t>
            </w:r>
          </w:p>
        </w:tc>
        <w:tc>
          <w:tcPr>
            <w:tcW w:w="2642" w:type="pct"/>
            <w:shd w:val="clear" w:color="auto" w:fill="auto"/>
          </w:tcPr>
          <w:p w:rsidR="00DA62C0" w:rsidRPr="00DA62C0" w:rsidRDefault="00DA62C0" w:rsidP="00DA62C0">
            <w:pPr>
              <w:spacing w:after="0" w:line="240" w:lineRule="auto"/>
              <w:rPr>
                <w:rFonts w:ascii="Arial" w:eastAsia="Times New Roman" w:hAnsi="Arial" w:cs="Arial"/>
                <w:b/>
                <w:sz w:val="20"/>
                <w:szCs w:val="20"/>
                <w:lang w:eastAsia="es-ES"/>
              </w:rPr>
            </w:pPr>
          </w:p>
        </w:tc>
      </w:tr>
    </w:tbl>
    <w:p w:rsidR="00DA62C0" w:rsidRPr="00DA62C0" w:rsidRDefault="00DA62C0" w:rsidP="00DA62C0">
      <w:pPr>
        <w:spacing w:after="0" w:line="240" w:lineRule="auto"/>
        <w:rPr>
          <w:rFonts w:ascii="Arial" w:eastAsia="Times New Roman" w:hAnsi="Arial" w:cs="Arial"/>
          <w:b/>
          <w:sz w:val="20"/>
          <w:szCs w:val="20"/>
          <w:lang w:eastAsia="es-ES"/>
        </w:rPr>
      </w:pPr>
    </w:p>
    <w:p w:rsidR="00DA62C0" w:rsidRPr="00DA62C0" w:rsidRDefault="00DA62C0" w:rsidP="00DA62C0">
      <w:pPr>
        <w:spacing w:after="0" w:line="240" w:lineRule="auto"/>
        <w:rPr>
          <w:rFonts w:ascii="Arial" w:eastAsia="Times New Roman" w:hAnsi="Arial" w:cs="Arial"/>
          <w:sz w:val="18"/>
          <w:szCs w:val="18"/>
          <w:lang w:eastAsia="es-ES"/>
        </w:rPr>
      </w:pPr>
      <w:r w:rsidRPr="00DA62C0">
        <w:rPr>
          <w:rFonts w:ascii="Arial" w:eastAsia="Times New Roman" w:hAnsi="Arial" w:cs="Arial"/>
          <w:sz w:val="18"/>
          <w:szCs w:val="18"/>
          <w:lang w:eastAsia="es-ES"/>
        </w:rPr>
        <w:t>Nota Fuente: Informe de rendimiento de cuentas de área. (2017)</w:t>
      </w:r>
    </w:p>
    <w:p w:rsidR="00DA62C0" w:rsidRDefault="00DA62C0">
      <w:pPr>
        <w:rPr>
          <w:rFonts w:ascii="Arial" w:eastAsia="Times New Roman" w:hAnsi="Arial" w:cs="Arial"/>
          <w:sz w:val="20"/>
          <w:szCs w:val="20"/>
          <w:lang w:val="es-ES" w:eastAsia="es-ES"/>
        </w:rPr>
      </w:pPr>
      <w:r>
        <w:rPr>
          <w:rFonts w:ascii="Arial" w:eastAsia="Times New Roman" w:hAnsi="Arial" w:cs="Arial"/>
          <w:sz w:val="20"/>
          <w:szCs w:val="20"/>
          <w:lang w:val="es-ES" w:eastAsia="es-ES"/>
        </w:rPr>
        <w:br w:type="page"/>
      </w:r>
    </w:p>
    <w:p w:rsidR="001E2626" w:rsidRDefault="001E2626" w:rsidP="007838FA">
      <w:pPr>
        <w:spacing w:after="0" w:line="240" w:lineRule="auto"/>
        <w:jc w:val="both"/>
        <w:rPr>
          <w:rFonts w:ascii="Arial" w:eastAsia="Times New Roman" w:hAnsi="Arial" w:cs="Arial"/>
          <w:b/>
          <w:sz w:val="20"/>
          <w:szCs w:val="20"/>
          <w:lang w:eastAsia="es-ES"/>
        </w:rPr>
      </w:pPr>
    </w:p>
    <w:p w:rsidR="00DA62C0" w:rsidRPr="00DA62C0" w:rsidRDefault="00DA62C0" w:rsidP="007838FA">
      <w:pPr>
        <w:spacing w:after="0" w:line="240" w:lineRule="auto"/>
        <w:jc w:val="both"/>
        <w:rPr>
          <w:rFonts w:ascii="Arial" w:eastAsia="Times New Roman" w:hAnsi="Arial" w:cs="Arial"/>
          <w:b/>
          <w:sz w:val="20"/>
          <w:szCs w:val="20"/>
          <w:lang w:eastAsia="es-ES"/>
        </w:rPr>
      </w:pPr>
      <w:r w:rsidRPr="00DA62C0">
        <w:rPr>
          <w:rFonts w:ascii="Arial" w:eastAsia="Times New Roman" w:hAnsi="Arial" w:cs="Arial"/>
          <w:b/>
          <w:sz w:val="20"/>
          <w:szCs w:val="20"/>
          <w:lang w:eastAsia="es-ES"/>
        </w:rPr>
        <w:t>Indicador N°4 Porcentaje de avance en la implementación del plan de prevención y atención de emergencias</w:t>
      </w:r>
    </w:p>
    <w:p w:rsidR="00DA62C0" w:rsidRPr="00DA62C0" w:rsidRDefault="00DA62C0" w:rsidP="007838FA">
      <w:pPr>
        <w:spacing w:after="0" w:line="240" w:lineRule="auto"/>
        <w:jc w:val="both"/>
        <w:rPr>
          <w:rFonts w:ascii="Arial" w:eastAsia="Times New Roman" w:hAnsi="Arial" w:cs="Arial"/>
          <w:b/>
          <w:sz w:val="20"/>
          <w:szCs w:val="20"/>
          <w:lang w:eastAsia="es-ES"/>
        </w:rPr>
      </w:pPr>
    </w:p>
    <w:p w:rsidR="00DA62C0" w:rsidRPr="00DA62C0" w:rsidRDefault="00DA62C0" w:rsidP="00DA62C0">
      <w:pPr>
        <w:spacing w:after="0" w:line="240" w:lineRule="auto"/>
        <w:jc w:val="both"/>
        <w:rPr>
          <w:rFonts w:ascii="Arial" w:eastAsia="Times New Roman" w:hAnsi="Arial" w:cs="Arial"/>
          <w:sz w:val="20"/>
          <w:szCs w:val="20"/>
          <w:lang w:eastAsia="es-ES"/>
        </w:rPr>
      </w:pPr>
      <w:r w:rsidRPr="00DA62C0">
        <w:rPr>
          <w:rFonts w:ascii="Arial" w:eastAsia="Times New Roman" w:hAnsi="Arial" w:cs="Arial"/>
          <w:sz w:val="20"/>
          <w:szCs w:val="20"/>
          <w:lang w:eastAsia="es-ES"/>
        </w:rPr>
        <w:t>El avance en la implementación del plan de prevención y atención de emergencias fue de un 65%, cumpliéndose en un 100% la meta programada a diciembre.</w:t>
      </w:r>
    </w:p>
    <w:p w:rsidR="00DA62C0" w:rsidRPr="00DA62C0" w:rsidRDefault="00DA62C0" w:rsidP="00DA62C0">
      <w:pPr>
        <w:spacing w:after="0" w:line="240" w:lineRule="auto"/>
        <w:jc w:val="both"/>
        <w:rPr>
          <w:rFonts w:ascii="Arial" w:eastAsia="Times New Roman" w:hAnsi="Arial" w:cs="Arial"/>
          <w:sz w:val="20"/>
          <w:szCs w:val="20"/>
          <w:lang w:eastAsia="es-ES"/>
        </w:rPr>
      </w:pPr>
      <w:r w:rsidRPr="00DA62C0">
        <w:rPr>
          <w:rFonts w:ascii="Arial" w:eastAsia="Times New Roman" w:hAnsi="Arial" w:cs="Arial"/>
          <w:sz w:val="20"/>
          <w:szCs w:val="20"/>
          <w:lang w:eastAsia="es-ES"/>
        </w:rPr>
        <w:t xml:space="preserve"> </w:t>
      </w:r>
    </w:p>
    <w:p w:rsidR="00DA62C0" w:rsidRPr="00DA62C0" w:rsidRDefault="00DA62C0" w:rsidP="00DA62C0">
      <w:pPr>
        <w:spacing w:after="0" w:line="240" w:lineRule="auto"/>
        <w:jc w:val="both"/>
        <w:rPr>
          <w:rFonts w:ascii="Arial" w:eastAsia="Times New Roman" w:hAnsi="Arial" w:cs="Arial"/>
          <w:sz w:val="20"/>
          <w:szCs w:val="20"/>
          <w:lang w:eastAsia="es-ES"/>
        </w:rPr>
      </w:pPr>
      <w:r w:rsidRPr="00DA62C0">
        <w:rPr>
          <w:rFonts w:ascii="Arial" w:eastAsia="Times New Roman" w:hAnsi="Arial" w:cs="Arial"/>
          <w:sz w:val="20"/>
          <w:szCs w:val="20"/>
          <w:lang w:eastAsia="es-ES"/>
        </w:rPr>
        <w:t>Seguidamente se muestra un detalle de lo actuado:</w:t>
      </w:r>
    </w:p>
    <w:tbl>
      <w:tblPr>
        <w:tblW w:w="9103" w:type="dxa"/>
        <w:tblBorders>
          <w:insideH w:val="single" w:sz="6" w:space="0" w:color="000000"/>
          <w:insideV w:val="single" w:sz="6" w:space="0" w:color="000000"/>
        </w:tblBorders>
        <w:tblLook w:val="04A0" w:firstRow="1" w:lastRow="0" w:firstColumn="1" w:lastColumn="0" w:noHBand="0" w:noVBand="1"/>
      </w:tblPr>
      <w:tblGrid>
        <w:gridCol w:w="4293"/>
        <w:gridCol w:w="4810"/>
      </w:tblGrid>
      <w:tr w:rsidR="00DA62C0" w:rsidRPr="00DA62C0" w:rsidTr="00746DC0">
        <w:trPr>
          <w:trHeight w:val="270"/>
        </w:trPr>
        <w:tc>
          <w:tcPr>
            <w:tcW w:w="5000" w:type="pct"/>
            <w:gridSpan w:val="2"/>
            <w:shd w:val="clear" w:color="auto" w:fill="auto"/>
            <w:noWrap/>
            <w:hideMark/>
          </w:tcPr>
          <w:p w:rsidR="00DA62C0" w:rsidRPr="00DA62C0" w:rsidRDefault="00DA62C0" w:rsidP="00DA62C0">
            <w:pPr>
              <w:spacing w:after="0" w:line="240" w:lineRule="auto"/>
              <w:jc w:val="both"/>
              <w:rPr>
                <w:rFonts w:ascii="Arial" w:eastAsia="Times New Roman" w:hAnsi="Arial" w:cs="Arial"/>
                <w:b/>
                <w:sz w:val="20"/>
                <w:szCs w:val="20"/>
                <w:lang w:eastAsia="es-ES"/>
              </w:rPr>
            </w:pPr>
          </w:p>
          <w:p w:rsidR="00DA62C0" w:rsidRPr="00DA62C0" w:rsidRDefault="00DA62C0" w:rsidP="00DA62C0">
            <w:pPr>
              <w:spacing w:after="0" w:line="240" w:lineRule="auto"/>
              <w:jc w:val="center"/>
              <w:rPr>
                <w:rFonts w:ascii="Arial" w:eastAsia="Times New Roman" w:hAnsi="Arial" w:cs="Arial"/>
                <w:b/>
                <w:sz w:val="20"/>
                <w:szCs w:val="20"/>
                <w:lang w:eastAsia="es-ES"/>
              </w:rPr>
            </w:pPr>
            <w:r w:rsidRPr="00DA62C0">
              <w:rPr>
                <w:rFonts w:ascii="Arial" w:eastAsia="Times New Roman" w:hAnsi="Arial" w:cs="Arial"/>
                <w:b/>
                <w:sz w:val="20"/>
                <w:szCs w:val="20"/>
                <w:lang w:eastAsia="es-ES"/>
              </w:rPr>
              <w:t>Tabla 3 Acciones Realizadas</w:t>
            </w:r>
          </w:p>
        </w:tc>
      </w:tr>
      <w:tr w:rsidR="00DA62C0" w:rsidRPr="00DA62C0" w:rsidTr="00746DC0">
        <w:trPr>
          <w:trHeight w:val="825"/>
        </w:trPr>
        <w:tc>
          <w:tcPr>
            <w:tcW w:w="2358" w:type="pct"/>
            <w:shd w:val="clear" w:color="auto" w:fill="auto"/>
            <w:hideMark/>
          </w:tcPr>
          <w:p w:rsidR="00DA62C0" w:rsidRPr="00DA62C0" w:rsidRDefault="00DA62C0" w:rsidP="00DA62C0">
            <w:pPr>
              <w:spacing w:after="0" w:line="240" w:lineRule="auto"/>
              <w:jc w:val="both"/>
              <w:rPr>
                <w:rFonts w:ascii="Arial" w:eastAsia="Times New Roman" w:hAnsi="Arial" w:cs="Arial"/>
                <w:b/>
                <w:sz w:val="20"/>
                <w:szCs w:val="20"/>
                <w:lang w:eastAsia="es-ES"/>
              </w:rPr>
            </w:pPr>
            <w:r w:rsidRPr="00DA62C0">
              <w:rPr>
                <w:rFonts w:ascii="Arial" w:eastAsia="Times New Roman" w:hAnsi="Arial" w:cs="Arial"/>
                <w:b/>
                <w:sz w:val="20"/>
                <w:szCs w:val="20"/>
                <w:lang w:eastAsia="es-ES"/>
              </w:rPr>
              <w:t>a) Actividades realizadas:</w:t>
            </w:r>
          </w:p>
          <w:p w:rsidR="00DA62C0" w:rsidRPr="00DA62C0" w:rsidRDefault="00DA62C0" w:rsidP="00DA62C0">
            <w:pPr>
              <w:spacing w:after="0" w:line="240" w:lineRule="auto"/>
              <w:jc w:val="both"/>
              <w:rPr>
                <w:rFonts w:ascii="Arial" w:eastAsia="Times New Roman" w:hAnsi="Arial" w:cs="Arial"/>
                <w:b/>
                <w:sz w:val="20"/>
                <w:szCs w:val="20"/>
                <w:lang w:eastAsia="es-ES"/>
              </w:rPr>
            </w:pPr>
          </w:p>
        </w:tc>
        <w:tc>
          <w:tcPr>
            <w:tcW w:w="2642" w:type="pct"/>
            <w:shd w:val="clear" w:color="auto" w:fill="auto"/>
          </w:tcPr>
          <w:p w:rsidR="00DA62C0" w:rsidRPr="00DA62C0" w:rsidRDefault="00DA62C0" w:rsidP="00DA62C0">
            <w:pPr>
              <w:spacing w:after="0" w:line="240" w:lineRule="auto"/>
              <w:jc w:val="both"/>
              <w:rPr>
                <w:rFonts w:ascii="Arial" w:eastAsia="Times New Roman" w:hAnsi="Arial" w:cs="Arial"/>
                <w:sz w:val="20"/>
                <w:szCs w:val="20"/>
                <w:lang w:eastAsia="es-ES"/>
              </w:rPr>
            </w:pPr>
            <w:r w:rsidRPr="00DA62C0">
              <w:rPr>
                <w:rFonts w:ascii="Arial" w:eastAsia="Times New Roman" w:hAnsi="Arial" w:cs="Arial"/>
                <w:sz w:val="20"/>
                <w:szCs w:val="20"/>
                <w:lang w:eastAsia="es-ES"/>
              </w:rPr>
              <w:t>- Se adquirió e inició la instalación de la rotulación de evacuación y de emergencias para los dos edificios que conforman las instalaciones del INVU.</w:t>
            </w:r>
          </w:p>
          <w:p w:rsidR="00DA62C0" w:rsidRPr="00DA62C0" w:rsidRDefault="00DA62C0" w:rsidP="00DA62C0">
            <w:pPr>
              <w:spacing w:after="0" w:line="240" w:lineRule="auto"/>
              <w:jc w:val="both"/>
              <w:rPr>
                <w:rFonts w:ascii="Arial" w:eastAsia="Times New Roman" w:hAnsi="Arial" w:cs="Arial"/>
                <w:sz w:val="20"/>
                <w:szCs w:val="20"/>
                <w:lang w:eastAsia="es-ES"/>
              </w:rPr>
            </w:pPr>
            <w:r w:rsidRPr="00DA62C0">
              <w:rPr>
                <w:rFonts w:ascii="Arial" w:eastAsia="Times New Roman" w:hAnsi="Arial" w:cs="Arial"/>
                <w:sz w:val="20"/>
                <w:szCs w:val="20"/>
                <w:lang w:eastAsia="es-ES"/>
              </w:rPr>
              <w:t xml:space="preserve">- Se capacitó al Comité de Primeros Auxilios en el protocolo de evacuación. </w:t>
            </w:r>
          </w:p>
          <w:p w:rsidR="00DA62C0" w:rsidRPr="00DA62C0" w:rsidRDefault="00DA62C0" w:rsidP="00DA62C0">
            <w:pPr>
              <w:spacing w:after="0" w:line="240" w:lineRule="auto"/>
              <w:jc w:val="both"/>
              <w:rPr>
                <w:rFonts w:ascii="Arial" w:eastAsia="Times New Roman" w:hAnsi="Arial" w:cs="Arial"/>
                <w:sz w:val="20"/>
                <w:szCs w:val="20"/>
                <w:lang w:eastAsia="es-ES"/>
              </w:rPr>
            </w:pPr>
            <w:r w:rsidRPr="00DA62C0">
              <w:rPr>
                <w:rFonts w:ascii="Arial" w:eastAsia="Times New Roman" w:hAnsi="Arial" w:cs="Arial"/>
                <w:sz w:val="20"/>
                <w:szCs w:val="20"/>
                <w:lang w:eastAsia="es-ES"/>
              </w:rPr>
              <w:t>- Se realizó el mantenimiento preventivo y correctivo al sistema de alarmas de emergencias.</w:t>
            </w:r>
          </w:p>
          <w:p w:rsidR="00DA62C0" w:rsidRPr="00DA62C0" w:rsidRDefault="00DA62C0" w:rsidP="00DA62C0">
            <w:pPr>
              <w:spacing w:after="0" w:line="240" w:lineRule="auto"/>
              <w:jc w:val="both"/>
              <w:rPr>
                <w:rFonts w:ascii="Arial" w:eastAsia="Times New Roman" w:hAnsi="Arial" w:cs="Arial"/>
                <w:sz w:val="20"/>
                <w:szCs w:val="20"/>
                <w:lang w:eastAsia="es-ES"/>
              </w:rPr>
            </w:pPr>
            <w:r w:rsidRPr="00DA62C0">
              <w:rPr>
                <w:rFonts w:ascii="Arial" w:eastAsia="Times New Roman" w:hAnsi="Arial" w:cs="Arial"/>
                <w:sz w:val="20"/>
                <w:szCs w:val="20"/>
                <w:lang w:eastAsia="es-ES"/>
              </w:rPr>
              <w:t>- Se tramitó la contratación de chalecos y distintivos para la identificación de los Comités de Primeros Auxilios, del Comité de Evacuación y del Comité de Evaluación de Daños y Amenazas.</w:t>
            </w:r>
          </w:p>
          <w:p w:rsidR="00DA62C0" w:rsidRPr="00DA62C0" w:rsidRDefault="00DA62C0" w:rsidP="00DA62C0">
            <w:pPr>
              <w:spacing w:after="0" w:line="240" w:lineRule="auto"/>
              <w:jc w:val="both"/>
              <w:rPr>
                <w:rFonts w:ascii="Arial" w:eastAsia="Times New Roman" w:hAnsi="Arial" w:cs="Arial"/>
                <w:sz w:val="20"/>
                <w:szCs w:val="20"/>
                <w:lang w:eastAsia="es-ES"/>
              </w:rPr>
            </w:pPr>
            <w:r w:rsidRPr="00DA62C0">
              <w:rPr>
                <w:rFonts w:ascii="Arial" w:eastAsia="Times New Roman" w:hAnsi="Arial" w:cs="Arial"/>
                <w:sz w:val="20"/>
                <w:szCs w:val="20"/>
                <w:lang w:eastAsia="es-ES"/>
              </w:rPr>
              <w:t>- Se capacitaron 2 funcionarios de la institución con formación en Ingeniería Civil en el curso “Evaluación de Daños en Edificios Post Desastre y Análisis de Necesidades (EDAN)”. Dicha capacitación la brindó la Academia Latinoamericana de Respuesta a Emergencias y Desastres. El objetivo es que el INVU cuente con personal preparado, además de un procedimiento para evaluar el edificio y tomar decisiones posteriores a una emergencia.</w:t>
            </w:r>
          </w:p>
          <w:p w:rsidR="00DA62C0" w:rsidRPr="00DA62C0" w:rsidRDefault="00DA62C0" w:rsidP="00DA62C0">
            <w:pPr>
              <w:spacing w:after="0" w:line="240" w:lineRule="auto"/>
              <w:jc w:val="both"/>
              <w:rPr>
                <w:rFonts w:ascii="Arial" w:eastAsia="Times New Roman" w:hAnsi="Arial" w:cs="Arial"/>
                <w:sz w:val="20"/>
                <w:szCs w:val="20"/>
                <w:lang w:eastAsia="es-ES"/>
              </w:rPr>
            </w:pPr>
            <w:r w:rsidRPr="00DA62C0">
              <w:rPr>
                <w:rFonts w:ascii="Arial" w:eastAsia="Times New Roman" w:hAnsi="Arial" w:cs="Arial"/>
                <w:sz w:val="20"/>
                <w:szCs w:val="20"/>
                <w:lang w:eastAsia="es-ES"/>
              </w:rPr>
              <w:t xml:space="preserve">- Se realizaron 25 capacitaciones sobre el protocolo de evacuación en casos de emergencias, para todo el personal de la Institución. </w:t>
            </w:r>
          </w:p>
          <w:p w:rsidR="00DA62C0" w:rsidRPr="00DA62C0" w:rsidRDefault="00DA62C0" w:rsidP="00DA62C0">
            <w:pPr>
              <w:spacing w:after="0" w:line="240" w:lineRule="auto"/>
              <w:jc w:val="both"/>
              <w:rPr>
                <w:rFonts w:ascii="Arial" w:eastAsia="Times New Roman" w:hAnsi="Arial" w:cs="Arial"/>
                <w:sz w:val="20"/>
                <w:szCs w:val="20"/>
                <w:lang w:eastAsia="es-ES"/>
              </w:rPr>
            </w:pPr>
            <w:r w:rsidRPr="00DA62C0">
              <w:rPr>
                <w:rFonts w:ascii="Arial" w:eastAsia="Times New Roman" w:hAnsi="Arial" w:cs="Arial"/>
                <w:sz w:val="20"/>
                <w:szCs w:val="20"/>
                <w:lang w:eastAsia="es-ES"/>
              </w:rPr>
              <w:t>- Se realizaron las actividades de logística y preparación  para el Simulacro de Evacuación, el cual se realizó en el mes de setiembre, donde se puso en práctica los procedimientos internos con todo el personal y visitantes. Además, se activó la jerarquía básica del Sistema de Comando de Incidentes, Brigada de Evacuación y Primeros Auxilios, así como el Comité de “Evaluación de Daños en Edificios Post Desastre y Análisis de Necesidades (EDAN)”.</w:t>
            </w:r>
          </w:p>
          <w:p w:rsidR="00DA62C0" w:rsidRPr="00DA62C0" w:rsidRDefault="00DA62C0" w:rsidP="00DA62C0">
            <w:pPr>
              <w:spacing w:after="0" w:line="240" w:lineRule="auto"/>
              <w:jc w:val="both"/>
              <w:rPr>
                <w:rFonts w:ascii="Arial" w:eastAsia="Times New Roman" w:hAnsi="Arial" w:cs="Arial"/>
                <w:sz w:val="20"/>
                <w:szCs w:val="20"/>
                <w:lang w:eastAsia="es-ES"/>
              </w:rPr>
            </w:pPr>
            <w:r w:rsidRPr="00DA62C0">
              <w:rPr>
                <w:rFonts w:ascii="Arial" w:eastAsia="Times New Roman" w:hAnsi="Arial" w:cs="Arial"/>
                <w:sz w:val="20"/>
                <w:szCs w:val="20"/>
                <w:lang w:eastAsia="es-ES"/>
              </w:rPr>
              <w:t>- Se elaboró un cronograma para la implementación del plan de emergencias.</w:t>
            </w:r>
          </w:p>
          <w:p w:rsidR="00DA62C0" w:rsidRPr="00DA62C0" w:rsidRDefault="00DA62C0" w:rsidP="00DA62C0">
            <w:pPr>
              <w:spacing w:after="0" w:line="240" w:lineRule="auto"/>
              <w:jc w:val="both"/>
              <w:rPr>
                <w:rFonts w:ascii="Arial" w:eastAsia="Times New Roman" w:hAnsi="Arial" w:cs="Arial"/>
                <w:sz w:val="20"/>
                <w:szCs w:val="20"/>
                <w:lang w:eastAsia="es-ES"/>
              </w:rPr>
            </w:pPr>
          </w:p>
        </w:tc>
      </w:tr>
      <w:tr w:rsidR="00DA62C0" w:rsidRPr="00DA62C0" w:rsidTr="00746DC0">
        <w:trPr>
          <w:trHeight w:val="705"/>
        </w:trPr>
        <w:tc>
          <w:tcPr>
            <w:tcW w:w="2358" w:type="pct"/>
            <w:shd w:val="clear" w:color="auto" w:fill="auto"/>
            <w:hideMark/>
          </w:tcPr>
          <w:p w:rsidR="00DA62C0" w:rsidRPr="00DA62C0" w:rsidRDefault="00DA62C0" w:rsidP="00DA62C0">
            <w:pPr>
              <w:spacing w:after="0" w:line="240" w:lineRule="auto"/>
              <w:jc w:val="both"/>
              <w:rPr>
                <w:rFonts w:ascii="Arial" w:eastAsia="Times New Roman" w:hAnsi="Arial" w:cs="Arial"/>
                <w:b/>
                <w:sz w:val="20"/>
                <w:szCs w:val="20"/>
                <w:lang w:eastAsia="es-ES"/>
              </w:rPr>
            </w:pPr>
            <w:r w:rsidRPr="00DA62C0">
              <w:rPr>
                <w:rFonts w:ascii="Arial" w:eastAsia="Times New Roman" w:hAnsi="Arial" w:cs="Arial"/>
                <w:b/>
                <w:sz w:val="20"/>
                <w:szCs w:val="20"/>
                <w:lang w:eastAsia="es-ES"/>
              </w:rPr>
              <w:t xml:space="preserve">b) Limitaciones: </w:t>
            </w:r>
          </w:p>
          <w:p w:rsidR="00DA62C0" w:rsidRPr="00DA62C0" w:rsidRDefault="00DA62C0" w:rsidP="00DA62C0">
            <w:pPr>
              <w:spacing w:after="0" w:line="240" w:lineRule="auto"/>
              <w:jc w:val="both"/>
              <w:rPr>
                <w:rFonts w:ascii="Arial" w:eastAsia="Times New Roman" w:hAnsi="Arial" w:cs="Arial"/>
                <w:b/>
                <w:sz w:val="20"/>
                <w:szCs w:val="20"/>
                <w:lang w:eastAsia="es-ES"/>
              </w:rPr>
            </w:pPr>
          </w:p>
          <w:p w:rsidR="00DA62C0" w:rsidRPr="00DA62C0" w:rsidRDefault="00DA62C0" w:rsidP="00DA62C0">
            <w:pPr>
              <w:spacing w:after="0" w:line="240" w:lineRule="auto"/>
              <w:jc w:val="both"/>
              <w:rPr>
                <w:rFonts w:ascii="Arial" w:eastAsia="Times New Roman" w:hAnsi="Arial" w:cs="Arial"/>
                <w:b/>
                <w:sz w:val="20"/>
                <w:szCs w:val="20"/>
                <w:lang w:eastAsia="es-ES"/>
              </w:rPr>
            </w:pPr>
          </w:p>
        </w:tc>
        <w:tc>
          <w:tcPr>
            <w:tcW w:w="2642" w:type="pct"/>
            <w:shd w:val="clear" w:color="auto" w:fill="auto"/>
          </w:tcPr>
          <w:p w:rsidR="00DA62C0" w:rsidRPr="00DA62C0" w:rsidRDefault="00DA62C0" w:rsidP="00DA62C0">
            <w:pPr>
              <w:spacing w:after="0" w:line="240" w:lineRule="auto"/>
              <w:jc w:val="both"/>
              <w:rPr>
                <w:rFonts w:ascii="Arial" w:eastAsia="Times New Roman" w:hAnsi="Arial" w:cs="Arial"/>
                <w:sz w:val="20"/>
                <w:szCs w:val="20"/>
                <w:lang w:eastAsia="es-ES"/>
              </w:rPr>
            </w:pPr>
            <w:r w:rsidRPr="00DA62C0">
              <w:rPr>
                <w:rFonts w:ascii="Arial" w:eastAsia="Times New Roman" w:hAnsi="Arial" w:cs="Arial"/>
                <w:sz w:val="20"/>
                <w:szCs w:val="20"/>
                <w:lang w:eastAsia="es-ES"/>
              </w:rPr>
              <w:t>- Antigüedad de los edificios e incumplimientos en materia de seguridad humana y protección contra incendios, lo que dificulta la implementación de los  protocolos de evacuación.</w:t>
            </w:r>
          </w:p>
          <w:p w:rsidR="00DA62C0" w:rsidRPr="00DA62C0" w:rsidRDefault="00DA62C0" w:rsidP="00DA62C0">
            <w:pPr>
              <w:spacing w:after="0" w:line="240" w:lineRule="auto"/>
              <w:jc w:val="both"/>
              <w:rPr>
                <w:rFonts w:ascii="Arial" w:eastAsia="Times New Roman" w:hAnsi="Arial" w:cs="Arial"/>
                <w:sz w:val="20"/>
                <w:szCs w:val="20"/>
                <w:lang w:eastAsia="es-ES"/>
              </w:rPr>
            </w:pPr>
          </w:p>
        </w:tc>
      </w:tr>
      <w:tr w:rsidR="00DA62C0" w:rsidRPr="00DA62C0" w:rsidTr="00746DC0">
        <w:trPr>
          <w:trHeight w:val="471"/>
        </w:trPr>
        <w:tc>
          <w:tcPr>
            <w:tcW w:w="2358" w:type="pct"/>
            <w:shd w:val="clear" w:color="auto" w:fill="auto"/>
            <w:hideMark/>
          </w:tcPr>
          <w:p w:rsidR="00DA62C0" w:rsidRPr="00DA62C0" w:rsidRDefault="00DA62C0" w:rsidP="00DA62C0">
            <w:pPr>
              <w:spacing w:after="0" w:line="240" w:lineRule="auto"/>
              <w:jc w:val="both"/>
              <w:rPr>
                <w:rFonts w:ascii="Arial" w:eastAsia="Times New Roman" w:hAnsi="Arial" w:cs="Arial"/>
                <w:b/>
                <w:sz w:val="20"/>
                <w:szCs w:val="20"/>
                <w:lang w:eastAsia="es-ES"/>
              </w:rPr>
            </w:pPr>
            <w:r w:rsidRPr="00DA62C0">
              <w:rPr>
                <w:rFonts w:ascii="Arial" w:eastAsia="Times New Roman" w:hAnsi="Arial" w:cs="Arial"/>
                <w:b/>
                <w:sz w:val="20"/>
                <w:szCs w:val="20"/>
                <w:lang w:eastAsia="es-ES"/>
              </w:rPr>
              <w:t>c) Medidas correctivas o acciones de mejora (realizadas y por realizar) para el logro de la meta:</w:t>
            </w:r>
          </w:p>
          <w:p w:rsidR="00DA62C0" w:rsidRPr="00DA62C0" w:rsidRDefault="00DA62C0" w:rsidP="00DA62C0">
            <w:pPr>
              <w:spacing w:after="0" w:line="240" w:lineRule="auto"/>
              <w:jc w:val="both"/>
              <w:rPr>
                <w:rFonts w:ascii="Arial" w:eastAsia="Times New Roman" w:hAnsi="Arial" w:cs="Arial"/>
                <w:b/>
                <w:sz w:val="20"/>
                <w:szCs w:val="20"/>
                <w:lang w:eastAsia="es-ES"/>
              </w:rPr>
            </w:pPr>
          </w:p>
          <w:p w:rsidR="00DA62C0" w:rsidRPr="00DA62C0" w:rsidRDefault="00DA62C0" w:rsidP="00DA62C0">
            <w:pPr>
              <w:spacing w:after="0" w:line="240" w:lineRule="auto"/>
              <w:jc w:val="both"/>
              <w:rPr>
                <w:rFonts w:ascii="Arial" w:eastAsia="Times New Roman" w:hAnsi="Arial" w:cs="Arial"/>
                <w:b/>
                <w:sz w:val="20"/>
                <w:szCs w:val="20"/>
                <w:lang w:eastAsia="es-ES"/>
              </w:rPr>
            </w:pPr>
          </w:p>
        </w:tc>
        <w:tc>
          <w:tcPr>
            <w:tcW w:w="2642" w:type="pct"/>
            <w:shd w:val="clear" w:color="auto" w:fill="auto"/>
          </w:tcPr>
          <w:p w:rsidR="00DA62C0" w:rsidRPr="00DA62C0" w:rsidRDefault="00DA62C0" w:rsidP="00DA62C0">
            <w:pPr>
              <w:spacing w:after="0" w:line="240" w:lineRule="auto"/>
              <w:jc w:val="both"/>
              <w:rPr>
                <w:rFonts w:ascii="Arial" w:eastAsia="Times New Roman" w:hAnsi="Arial" w:cs="Arial"/>
                <w:sz w:val="20"/>
                <w:szCs w:val="20"/>
                <w:lang w:eastAsia="es-ES"/>
              </w:rPr>
            </w:pPr>
            <w:r w:rsidRPr="00DA62C0">
              <w:rPr>
                <w:rFonts w:ascii="Arial" w:eastAsia="Times New Roman" w:hAnsi="Arial" w:cs="Arial"/>
                <w:sz w:val="20"/>
                <w:szCs w:val="20"/>
                <w:lang w:eastAsia="es-ES"/>
              </w:rPr>
              <w:t>- La Gerencia General solicitó a la Unidad de Proyectos Habitacionales un informe de los costos de la implementación de las intervenciones que requiere el edificio, para cumplir con la normativa de seguridad humana y protección contra incendios.</w:t>
            </w:r>
          </w:p>
          <w:p w:rsidR="00DA62C0" w:rsidRPr="00DA62C0" w:rsidRDefault="00DA62C0" w:rsidP="00DA62C0">
            <w:pPr>
              <w:spacing w:after="0" w:line="240" w:lineRule="auto"/>
              <w:jc w:val="both"/>
              <w:rPr>
                <w:rFonts w:ascii="Arial" w:eastAsia="Times New Roman" w:hAnsi="Arial" w:cs="Arial"/>
                <w:sz w:val="20"/>
                <w:szCs w:val="20"/>
                <w:lang w:eastAsia="es-ES"/>
              </w:rPr>
            </w:pPr>
          </w:p>
        </w:tc>
      </w:tr>
      <w:tr w:rsidR="00DA62C0" w:rsidRPr="00DA62C0" w:rsidTr="00746DC0">
        <w:trPr>
          <w:trHeight w:val="850"/>
        </w:trPr>
        <w:tc>
          <w:tcPr>
            <w:tcW w:w="2358" w:type="pct"/>
            <w:shd w:val="clear" w:color="auto" w:fill="auto"/>
          </w:tcPr>
          <w:p w:rsidR="00DA62C0" w:rsidRPr="00DA62C0" w:rsidRDefault="00DA62C0" w:rsidP="00DA62C0">
            <w:pPr>
              <w:spacing w:after="0" w:line="240" w:lineRule="auto"/>
              <w:jc w:val="both"/>
              <w:rPr>
                <w:rFonts w:ascii="Arial" w:eastAsia="Times New Roman" w:hAnsi="Arial" w:cs="Arial"/>
                <w:b/>
                <w:sz w:val="20"/>
                <w:szCs w:val="20"/>
                <w:lang w:eastAsia="es-ES"/>
              </w:rPr>
            </w:pPr>
            <w:r w:rsidRPr="00DA62C0">
              <w:rPr>
                <w:rFonts w:ascii="Arial" w:eastAsia="Times New Roman" w:hAnsi="Arial" w:cs="Arial"/>
                <w:b/>
                <w:sz w:val="20"/>
                <w:szCs w:val="20"/>
                <w:lang w:eastAsia="es-ES"/>
              </w:rPr>
              <w:t>d) Observaciones:</w:t>
            </w:r>
          </w:p>
        </w:tc>
        <w:tc>
          <w:tcPr>
            <w:tcW w:w="2642" w:type="pct"/>
            <w:shd w:val="clear" w:color="auto" w:fill="auto"/>
          </w:tcPr>
          <w:p w:rsidR="00DA62C0" w:rsidRPr="00DA62C0" w:rsidRDefault="00DA62C0" w:rsidP="00DA62C0">
            <w:pPr>
              <w:spacing w:after="0" w:line="240" w:lineRule="auto"/>
              <w:jc w:val="both"/>
              <w:rPr>
                <w:rFonts w:ascii="Arial" w:eastAsia="Times New Roman" w:hAnsi="Arial" w:cs="Arial"/>
                <w:b/>
                <w:sz w:val="20"/>
                <w:szCs w:val="20"/>
                <w:lang w:eastAsia="es-ES"/>
              </w:rPr>
            </w:pPr>
          </w:p>
        </w:tc>
      </w:tr>
    </w:tbl>
    <w:p w:rsidR="00DA62C0" w:rsidRPr="00DA62C0" w:rsidRDefault="00DA62C0" w:rsidP="00DA62C0">
      <w:pPr>
        <w:spacing w:after="0" w:line="240" w:lineRule="auto"/>
        <w:jc w:val="both"/>
        <w:rPr>
          <w:rFonts w:ascii="Arial" w:eastAsia="Times New Roman" w:hAnsi="Arial" w:cs="Arial"/>
          <w:b/>
          <w:sz w:val="20"/>
          <w:szCs w:val="20"/>
          <w:lang w:eastAsia="es-ES"/>
        </w:rPr>
      </w:pPr>
    </w:p>
    <w:p w:rsidR="00DA62C0" w:rsidRPr="001E2626" w:rsidRDefault="00DA62C0" w:rsidP="00DA62C0">
      <w:pPr>
        <w:spacing w:after="0" w:line="240" w:lineRule="auto"/>
        <w:jc w:val="both"/>
        <w:rPr>
          <w:rFonts w:ascii="Arial" w:eastAsia="Times New Roman" w:hAnsi="Arial" w:cs="Arial"/>
          <w:sz w:val="18"/>
          <w:szCs w:val="18"/>
          <w:lang w:eastAsia="es-ES"/>
        </w:rPr>
      </w:pPr>
      <w:r w:rsidRPr="001E2626">
        <w:rPr>
          <w:rFonts w:ascii="Arial" w:eastAsia="Times New Roman" w:hAnsi="Arial" w:cs="Arial"/>
          <w:sz w:val="18"/>
          <w:szCs w:val="18"/>
          <w:lang w:eastAsia="es-ES"/>
        </w:rPr>
        <w:t>Nota Fuente: Informe de rendimiento de cuentas de área. (2017)</w:t>
      </w:r>
    </w:p>
    <w:p w:rsidR="00DA62C0" w:rsidRDefault="00DA62C0">
      <w:pPr>
        <w:rPr>
          <w:rFonts w:ascii="Arial" w:eastAsia="Times New Roman" w:hAnsi="Arial" w:cs="Arial"/>
          <w:sz w:val="20"/>
          <w:szCs w:val="20"/>
          <w:lang w:val="es-ES" w:eastAsia="es-ES"/>
        </w:rPr>
      </w:pPr>
      <w:r>
        <w:rPr>
          <w:rFonts w:ascii="Arial" w:eastAsia="Times New Roman" w:hAnsi="Arial" w:cs="Arial"/>
          <w:sz w:val="20"/>
          <w:szCs w:val="20"/>
          <w:lang w:val="es-ES" w:eastAsia="es-ES"/>
        </w:rPr>
        <w:br w:type="page"/>
      </w:r>
    </w:p>
    <w:p w:rsidR="00586429" w:rsidRPr="00586429" w:rsidRDefault="00586429" w:rsidP="007838FA">
      <w:pPr>
        <w:spacing w:after="0" w:line="240" w:lineRule="auto"/>
        <w:jc w:val="both"/>
        <w:rPr>
          <w:rFonts w:ascii="Arial" w:eastAsia="Times New Roman" w:hAnsi="Arial" w:cs="Arial"/>
          <w:b/>
          <w:sz w:val="20"/>
          <w:szCs w:val="20"/>
          <w:lang w:eastAsia="es-ES"/>
        </w:rPr>
      </w:pPr>
      <w:r w:rsidRPr="00586429">
        <w:rPr>
          <w:rFonts w:ascii="Arial" w:eastAsia="Times New Roman" w:hAnsi="Arial" w:cs="Arial"/>
          <w:b/>
          <w:sz w:val="20"/>
          <w:szCs w:val="20"/>
          <w:lang w:eastAsia="es-ES"/>
        </w:rPr>
        <w:lastRenderedPageBreak/>
        <w:t>Indicador N°5 Porcentaje de avance en la implementación del plan de Gestión Ambiental</w:t>
      </w:r>
    </w:p>
    <w:p w:rsidR="00586429" w:rsidRPr="00586429" w:rsidRDefault="00586429" w:rsidP="007838FA">
      <w:pPr>
        <w:spacing w:after="0" w:line="240" w:lineRule="auto"/>
        <w:jc w:val="both"/>
        <w:rPr>
          <w:rFonts w:ascii="Arial" w:eastAsia="Times New Roman" w:hAnsi="Arial" w:cs="Arial"/>
          <w:b/>
          <w:sz w:val="20"/>
          <w:szCs w:val="20"/>
          <w:lang w:eastAsia="es-ES"/>
        </w:rPr>
      </w:pPr>
    </w:p>
    <w:p w:rsidR="00586429" w:rsidRPr="00586429" w:rsidRDefault="00586429" w:rsidP="007838FA">
      <w:pPr>
        <w:spacing w:after="0" w:line="240" w:lineRule="auto"/>
        <w:jc w:val="both"/>
        <w:rPr>
          <w:rFonts w:ascii="Arial" w:eastAsia="Times New Roman" w:hAnsi="Arial" w:cs="Arial"/>
          <w:sz w:val="20"/>
          <w:szCs w:val="20"/>
          <w:lang w:eastAsia="es-ES"/>
        </w:rPr>
      </w:pPr>
      <w:r w:rsidRPr="00586429">
        <w:rPr>
          <w:rFonts w:ascii="Arial" w:eastAsia="Times New Roman" w:hAnsi="Arial" w:cs="Arial"/>
          <w:sz w:val="20"/>
          <w:szCs w:val="20"/>
          <w:lang w:eastAsia="es-ES"/>
        </w:rPr>
        <w:t xml:space="preserve">El avance en la implementación del plan de Gestión Ambiental fue de un 50%, cumpliéndose la meta programada a diciembre, en un 100%. </w:t>
      </w:r>
    </w:p>
    <w:p w:rsidR="00586429" w:rsidRPr="00586429" w:rsidRDefault="00586429" w:rsidP="00586429">
      <w:pPr>
        <w:spacing w:after="0" w:line="240" w:lineRule="auto"/>
        <w:rPr>
          <w:rFonts w:ascii="Arial" w:eastAsia="Times New Roman" w:hAnsi="Arial" w:cs="Arial"/>
          <w:sz w:val="20"/>
          <w:szCs w:val="20"/>
          <w:lang w:eastAsia="es-ES"/>
        </w:rPr>
      </w:pPr>
    </w:p>
    <w:p w:rsidR="00586429" w:rsidRPr="00586429" w:rsidRDefault="00586429" w:rsidP="00586429">
      <w:pPr>
        <w:spacing w:after="0" w:line="240" w:lineRule="auto"/>
        <w:rPr>
          <w:rFonts w:ascii="Arial" w:eastAsia="Times New Roman" w:hAnsi="Arial" w:cs="Arial"/>
          <w:sz w:val="20"/>
          <w:szCs w:val="20"/>
          <w:lang w:eastAsia="es-ES"/>
        </w:rPr>
      </w:pPr>
      <w:r w:rsidRPr="00586429">
        <w:rPr>
          <w:rFonts w:ascii="Arial" w:eastAsia="Times New Roman" w:hAnsi="Arial" w:cs="Arial"/>
          <w:sz w:val="20"/>
          <w:szCs w:val="20"/>
          <w:lang w:eastAsia="es-ES"/>
        </w:rPr>
        <w:t>Seguidamente se muestra un detalle de lo actuado:</w:t>
      </w:r>
    </w:p>
    <w:tbl>
      <w:tblPr>
        <w:tblW w:w="8866" w:type="dxa"/>
        <w:tblBorders>
          <w:insideH w:val="single" w:sz="6" w:space="0" w:color="000000"/>
          <w:insideV w:val="single" w:sz="6" w:space="0" w:color="000000"/>
        </w:tblBorders>
        <w:tblLook w:val="04A0" w:firstRow="1" w:lastRow="0" w:firstColumn="1" w:lastColumn="0" w:noHBand="0" w:noVBand="1"/>
      </w:tblPr>
      <w:tblGrid>
        <w:gridCol w:w="4181"/>
        <w:gridCol w:w="4685"/>
      </w:tblGrid>
      <w:tr w:rsidR="00586429" w:rsidRPr="00586429" w:rsidTr="00746DC0">
        <w:trPr>
          <w:trHeight w:val="267"/>
        </w:trPr>
        <w:tc>
          <w:tcPr>
            <w:tcW w:w="5000" w:type="pct"/>
            <w:gridSpan w:val="2"/>
            <w:shd w:val="clear" w:color="auto" w:fill="auto"/>
            <w:noWrap/>
            <w:hideMark/>
          </w:tcPr>
          <w:p w:rsidR="00586429" w:rsidRPr="00586429" w:rsidRDefault="00586429" w:rsidP="00586429">
            <w:pPr>
              <w:spacing w:after="0" w:line="240" w:lineRule="auto"/>
              <w:rPr>
                <w:rFonts w:ascii="Arial" w:eastAsia="Times New Roman" w:hAnsi="Arial" w:cs="Arial"/>
                <w:b/>
                <w:sz w:val="20"/>
                <w:szCs w:val="20"/>
                <w:lang w:eastAsia="es-ES"/>
              </w:rPr>
            </w:pPr>
          </w:p>
          <w:p w:rsidR="00586429" w:rsidRPr="00586429" w:rsidRDefault="00586429" w:rsidP="00586429">
            <w:pPr>
              <w:spacing w:after="0" w:line="240" w:lineRule="auto"/>
              <w:jc w:val="center"/>
              <w:rPr>
                <w:rFonts w:ascii="Arial" w:eastAsia="Times New Roman" w:hAnsi="Arial" w:cs="Arial"/>
                <w:b/>
                <w:sz w:val="20"/>
                <w:szCs w:val="20"/>
                <w:lang w:eastAsia="es-ES"/>
              </w:rPr>
            </w:pPr>
            <w:r w:rsidRPr="00586429">
              <w:rPr>
                <w:rFonts w:ascii="Arial" w:eastAsia="Times New Roman" w:hAnsi="Arial" w:cs="Arial"/>
                <w:b/>
                <w:sz w:val="20"/>
                <w:szCs w:val="20"/>
                <w:lang w:eastAsia="es-ES"/>
              </w:rPr>
              <w:t>Tabla 4 Acciones Realizadas</w:t>
            </w:r>
          </w:p>
        </w:tc>
      </w:tr>
      <w:tr w:rsidR="00586429" w:rsidRPr="00586429" w:rsidTr="00746DC0">
        <w:trPr>
          <w:trHeight w:val="817"/>
        </w:trPr>
        <w:tc>
          <w:tcPr>
            <w:tcW w:w="2358" w:type="pct"/>
            <w:shd w:val="clear" w:color="auto" w:fill="auto"/>
            <w:hideMark/>
          </w:tcPr>
          <w:p w:rsidR="00586429" w:rsidRPr="00586429" w:rsidRDefault="00586429" w:rsidP="00586429">
            <w:pPr>
              <w:spacing w:after="0" w:line="240" w:lineRule="auto"/>
              <w:rPr>
                <w:rFonts w:ascii="Arial" w:eastAsia="Times New Roman" w:hAnsi="Arial" w:cs="Arial"/>
                <w:b/>
                <w:sz w:val="20"/>
                <w:szCs w:val="20"/>
                <w:lang w:eastAsia="es-ES"/>
              </w:rPr>
            </w:pPr>
            <w:r w:rsidRPr="00586429">
              <w:rPr>
                <w:rFonts w:ascii="Arial" w:eastAsia="Times New Roman" w:hAnsi="Arial" w:cs="Arial"/>
                <w:b/>
                <w:sz w:val="20"/>
                <w:szCs w:val="20"/>
                <w:lang w:eastAsia="es-ES"/>
              </w:rPr>
              <w:t>a) Actividades realizadas:</w:t>
            </w:r>
          </w:p>
        </w:tc>
        <w:tc>
          <w:tcPr>
            <w:tcW w:w="2642" w:type="pct"/>
            <w:shd w:val="clear" w:color="auto" w:fill="auto"/>
          </w:tcPr>
          <w:p w:rsidR="00586429" w:rsidRPr="00586429" w:rsidRDefault="00586429" w:rsidP="00586429">
            <w:pPr>
              <w:spacing w:after="0" w:line="240" w:lineRule="auto"/>
              <w:jc w:val="both"/>
              <w:rPr>
                <w:rFonts w:ascii="Arial" w:eastAsia="Times New Roman" w:hAnsi="Arial" w:cs="Arial"/>
                <w:sz w:val="20"/>
                <w:szCs w:val="20"/>
                <w:lang w:eastAsia="es-ES"/>
              </w:rPr>
            </w:pPr>
            <w:r w:rsidRPr="00586429">
              <w:rPr>
                <w:rFonts w:ascii="Arial" w:eastAsia="Times New Roman" w:hAnsi="Arial" w:cs="Arial"/>
                <w:sz w:val="20"/>
                <w:szCs w:val="20"/>
                <w:lang w:eastAsia="es-ES"/>
              </w:rPr>
              <w:t>- Se separaron residuos ordinarios, que se gestionaron de forma ambiental por medio del Centro de Recuperación de Materiales Reciclables de la Municipalidad de San José. En total se enviaron las siguientes cantidades:</w:t>
            </w:r>
          </w:p>
          <w:tbl>
            <w:tblPr>
              <w:tblW w:w="0" w:type="auto"/>
              <w:tblLook w:val="04A0" w:firstRow="1" w:lastRow="0" w:firstColumn="1" w:lastColumn="0" w:noHBand="0" w:noVBand="1"/>
            </w:tblPr>
            <w:tblGrid>
              <w:gridCol w:w="1768"/>
              <w:gridCol w:w="2410"/>
            </w:tblGrid>
            <w:tr w:rsidR="00586429" w:rsidRPr="00586429" w:rsidTr="00746DC0">
              <w:trPr>
                <w:trHeight w:val="244"/>
              </w:trPr>
              <w:tc>
                <w:tcPr>
                  <w:tcW w:w="1768" w:type="dxa"/>
                  <w:shd w:val="clear" w:color="auto" w:fill="auto"/>
                </w:tcPr>
                <w:p w:rsidR="00586429" w:rsidRPr="00586429" w:rsidRDefault="00586429" w:rsidP="00586429">
                  <w:pPr>
                    <w:spacing w:after="0" w:line="240" w:lineRule="auto"/>
                    <w:jc w:val="both"/>
                    <w:rPr>
                      <w:rFonts w:ascii="Arial" w:eastAsia="Times New Roman" w:hAnsi="Arial" w:cs="Arial"/>
                      <w:sz w:val="20"/>
                      <w:szCs w:val="20"/>
                      <w:lang w:eastAsia="es-ES"/>
                    </w:rPr>
                  </w:pPr>
                  <w:r w:rsidRPr="00586429">
                    <w:rPr>
                      <w:rFonts w:ascii="Arial" w:eastAsia="Times New Roman" w:hAnsi="Arial" w:cs="Arial"/>
                      <w:sz w:val="20"/>
                      <w:szCs w:val="20"/>
                      <w:lang w:eastAsia="es-ES"/>
                    </w:rPr>
                    <w:t>Papel: 4147 kg</w:t>
                  </w:r>
                </w:p>
              </w:tc>
              <w:tc>
                <w:tcPr>
                  <w:tcW w:w="2410" w:type="dxa"/>
                  <w:shd w:val="clear" w:color="auto" w:fill="auto"/>
                </w:tcPr>
                <w:p w:rsidR="00586429" w:rsidRPr="00586429" w:rsidRDefault="00586429" w:rsidP="00586429">
                  <w:pPr>
                    <w:spacing w:after="0" w:line="240" w:lineRule="auto"/>
                    <w:jc w:val="both"/>
                    <w:rPr>
                      <w:rFonts w:ascii="Arial" w:eastAsia="Times New Roman" w:hAnsi="Arial" w:cs="Arial"/>
                      <w:sz w:val="20"/>
                      <w:szCs w:val="20"/>
                      <w:lang w:eastAsia="es-ES"/>
                    </w:rPr>
                  </w:pPr>
                  <w:r w:rsidRPr="00586429">
                    <w:rPr>
                      <w:rFonts w:ascii="Arial" w:eastAsia="Times New Roman" w:hAnsi="Arial" w:cs="Arial"/>
                      <w:sz w:val="20"/>
                      <w:szCs w:val="20"/>
                      <w:lang w:eastAsia="es-ES"/>
                    </w:rPr>
                    <w:t>Cartón: 222 kg</w:t>
                  </w:r>
                </w:p>
              </w:tc>
            </w:tr>
            <w:tr w:rsidR="00586429" w:rsidRPr="00586429" w:rsidTr="00746DC0">
              <w:tc>
                <w:tcPr>
                  <w:tcW w:w="1768" w:type="dxa"/>
                  <w:shd w:val="clear" w:color="auto" w:fill="auto"/>
                </w:tcPr>
                <w:p w:rsidR="00586429" w:rsidRPr="00586429" w:rsidRDefault="00586429" w:rsidP="00586429">
                  <w:pPr>
                    <w:spacing w:after="0" w:line="240" w:lineRule="auto"/>
                    <w:jc w:val="both"/>
                    <w:rPr>
                      <w:rFonts w:ascii="Arial" w:eastAsia="Times New Roman" w:hAnsi="Arial" w:cs="Arial"/>
                      <w:sz w:val="20"/>
                      <w:szCs w:val="20"/>
                      <w:lang w:eastAsia="es-ES"/>
                    </w:rPr>
                  </w:pPr>
                  <w:r w:rsidRPr="00586429">
                    <w:rPr>
                      <w:rFonts w:ascii="Arial" w:eastAsia="Times New Roman" w:hAnsi="Arial" w:cs="Arial"/>
                      <w:sz w:val="20"/>
                      <w:szCs w:val="20"/>
                      <w:lang w:eastAsia="es-ES"/>
                    </w:rPr>
                    <w:t>Plástico:131,5 kg</w:t>
                  </w:r>
                </w:p>
              </w:tc>
              <w:tc>
                <w:tcPr>
                  <w:tcW w:w="2410" w:type="dxa"/>
                  <w:shd w:val="clear" w:color="auto" w:fill="auto"/>
                </w:tcPr>
                <w:p w:rsidR="00586429" w:rsidRPr="00586429" w:rsidRDefault="00586429" w:rsidP="00586429">
                  <w:pPr>
                    <w:spacing w:after="0" w:line="240" w:lineRule="auto"/>
                    <w:jc w:val="both"/>
                    <w:rPr>
                      <w:rFonts w:ascii="Arial" w:eastAsia="Times New Roman" w:hAnsi="Arial" w:cs="Arial"/>
                      <w:sz w:val="20"/>
                      <w:szCs w:val="20"/>
                      <w:lang w:eastAsia="es-ES"/>
                    </w:rPr>
                  </w:pPr>
                  <w:r w:rsidRPr="00586429">
                    <w:rPr>
                      <w:rFonts w:ascii="Arial" w:eastAsia="Times New Roman" w:hAnsi="Arial" w:cs="Arial"/>
                      <w:sz w:val="20"/>
                      <w:szCs w:val="20"/>
                      <w:lang w:eastAsia="es-ES"/>
                    </w:rPr>
                    <w:t>Aluminio: 11 kg</w:t>
                  </w:r>
                </w:p>
              </w:tc>
            </w:tr>
            <w:tr w:rsidR="00586429" w:rsidRPr="00586429" w:rsidTr="00746DC0">
              <w:trPr>
                <w:trHeight w:val="179"/>
              </w:trPr>
              <w:tc>
                <w:tcPr>
                  <w:tcW w:w="1768" w:type="dxa"/>
                  <w:shd w:val="clear" w:color="auto" w:fill="auto"/>
                </w:tcPr>
                <w:p w:rsidR="00586429" w:rsidRPr="00586429" w:rsidRDefault="00586429" w:rsidP="00586429">
                  <w:pPr>
                    <w:spacing w:after="0" w:line="240" w:lineRule="auto"/>
                    <w:jc w:val="both"/>
                    <w:rPr>
                      <w:rFonts w:ascii="Arial" w:eastAsia="Times New Roman" w:hAnsi="Arial" w:cs="Arial"/>
                      <w:sz w:val="20"/>
                      <w:szCs w:val="20"/>
                      <w:lang w:eastAsia="es-ES"/>
                    </w:rPr>
                  </w:pPr>
                  <w:r w:rsidRPr="00586429">
                    <w:rPr>
                      <w:rFonts w:ascii="Arial" w:eastAsia="Times New Roman" w:hAnsi="Arial" w:cs="Arial"/>
                      <w:sz w:val="20"/>
                      <w:szCs w:val="20"/>
                      <w:lang w:eastAsia="es-ES"/>
                    </w:rPr>
                    <w:t>Vidrio: 6,5 kg</w:t>
                  </w:r>
                </w:p>
              </w:tc>
              <w:tc>
                <w:tcPr>
                  <w:tcW w:w="2410" w:type="dxa"/>
                  <w:shd w:val="clear" w:color="auto" w:fill="auto"/>
                </w:tcPr>
                <w:p w:rsidR="00586429" w:rsidRPr="00586429" w:rsidRDefault="00586429" w:rsidP="00586429">
                  <w:pPr>
                    <w:spacing w:after="0" w:line="240" w:lineRule="auto"/>
                    <w:jc w:val="both"/>
                    <w:rPr>
                      <w:rFonts w:ascii="Arial" w:eastAsia="Times New Roman" w:hAnsi="Arial" w:cs="Arial"/>
                      <w:sz w:val="20"/>
                      <w:szCs w:val="20"/>
                      <w:lang w:eastAsia="es-ES"/>
                    </w:rPr>
                  </w:pPr>
                  <w:r w:rsidRPr="00586429">
                    <w:rPr>
                      <w:rFonts w:ascii="Arial" w:eastAsia="Times New Roman" w:hAnsi="Arial" w:cs="Arial"/>
                      <w:sz w:val="20"/>
                      <w:szCs w:val="20"/>
                      <w:lang w:eastAsia="es-ES"/>
                    </w:rPr>
                    <w:t>Tetrapak: 9 kg</w:t>
                  </w:r>
                </w:p>
              </w:tc>
            </w:tr>
            <w:tr w:rsidR="00586429" w:rsidRPr="00586429" w:rsidTr="00746DC0">
              <w:tc>
                <w:tcPr>
                  <w:tcW w:w="4178" w:type="dxa"/>
                  <w:gridSpan w:val="2"/>
                  <w:shd w:val="clear" w:color="auto" w:fill="auto"/>
                </w:tcPr>
                <w:p w:rsidR="00586429" w:rsidRPr="00586429" w:rsidRDefault="00586429" w:rsidP="00586429">
                  <w:pPr>
                    <w:spacing w:after="0" w:line="240" w:lineRule="auto"/>
                    <w:jc w:val="both"/>
                    <w:rPr>
                      <w:rFonts w:ascii="Arial" w:eastAsia="Times New Roman" w:hAnsi="Arial" w:cs="Arial"/>
                      <w:sz w:val="20"/>
                      <w:szCs w:val="20"/>
                      <w:lang w:eastAsia="es-ES"/>
                    </w:rPr>
                  </w:pPr>
                  <w:r w:rsidRPr="00586429">
                    <w:rPr>
                      <w:rFonts w:ascii="Arial" w:eastAsia="Times New Roman" w:hAnsi="Arial" w:cs="Arial"/>
                      <w:sz w:val="20"/>
                      <w:szCs w:val="20"/>
                      <w:lang w:eastAsia="es-ES"/>
                    </w:rPr>
                    <w:t>Tóner, cartuchos de tinta: 6 kg</w:t>
                  </w:r>
                </w:p>
              </w:tc>
            </w:tr>
          </w:tbl>
          <w:p w:rsidR="00586429" w:rsidRPr="00586429" w:rsidRDefault="00586429" w:rsidP="00586429">
            <w:pPr>
              <w:spacing w:after="0" w:line="240" w:lineRule="auto"/>
              <w:jc w:val="both"/>
              <w:rPr>
                <w:rFonts w:ascii="Arial" w:eastAsia="Times New Roman" w:hAnsi="Arial" w:cs="Arial"/>
                <w:sz w:val="20"/>
                <w:szCs w:val="20"/>
                <w:lang w:eastAsia="es-ES"/>
              </w:rPr>
            </w:pPr>
            <w:r w:rsidRPr="00586429">
              <w:rPr>
                <w:rFonts w:ascii="Arial" w:eastAsia="Times New Roman" w:hAnsi="Arial" w:cs="Arial"/>
                <w:sz w:val="20"/>
                <w:szCs w:val="20"/>
                <w:lang w:eastAsia="es-ES"/>
              </w:rPr>
              <w:t>- Se enviaron 243 residuos electrónicos y mobiliario obsoletos y dañados, al Centro de Transferencia y Transformación de Materiales del Institutito Tecnológico de Costa Rica (ITCR), para su manejo ambiental.</w:t>
            </w:r>
          </w:p>
          <w:p w:rsidR="00586429" w:rsidRPr="00586429" w:rsidRDefault="00586429" w:rsidP="00586429">
            <w:pPr>
              <w:spacing w:after="0" w:line="240" w:lineRule="auto"/>
              <w:jc w:val="both"/>
              <w:rPr>
                <w:rFonts w:ascii="Arial" w:eastAsia="Times New Roman" w:hAnsi="Arial" w:cs="Arial"/>
                <w:sz w:val="20"/>
                <w:szCs w:val="20"/>
                <w:lang w:eastAsia="es-ES"/>
              </w:rPr>
            </w:pPr>
            <w:r w:rsidRPr="00586429">
              <w:rPr>
                <w:rFonts w:ascii="Arial" w:eastAsia="Times New Roman" w:hAnsi="Arial" w:cs="Arial"/>
                <w:sz w:val="20"/>
                <w:szCs w:val="20"/>
                <w:lang w:eastAsia="es-ES"/>
              </w:rPr>
              <w:t xml:space="preserve">- Se realizó una campaña de recolección de materiales para reciclaje entre los funcionarios, en el Día Mundial del Ambiente, se sensibilizó sobre en ambientales y se entregó abono orgánico a los clientes. </w:t>
            </w:r>
          </w:p>
          <w:p w:rsidR="00586429" w:rsidRPr="00586429" w:rsidRDefault="00586429" w:rsidP="00586429">
            <w:pPr>
              <w:spacing w:after="0" w:line="240" w:lineRule="auto"/>
              <w:jc w:val="both"/>
              <w:rPr>
                <w:rFonts w:ascii="Arial" w:eastAsia="Times New Roman" w:hAnsi="Arial" w:cs="Arial"/>
                <w:sz w:val="20"/>
                <w:szCs w:val="20"/>
                <w:lang w:eastAsia="es-ES"/>
              </w:rPr>
            </w:pPr>
            <w:r w:rsidRPr="00586429">
              <w:rPr>
                <w:rFonts w:ascii="Arial" w:eastAsia="Times New Roman" w:hAnsi="Arial" w:cs="Arial"/>
                <w:sz w:val="20"/>
                <w:szCs w:val="20"/>
                <w:lang w:eastAsia="es-ES"/>
              </w:rPr>
              <w:t>- Se brindó tratamiento a 70 kg de residuos orgánicos, originados por sobros de alimentos, cáscaras de frutas, bolsas de té, servilletas, entre otros. Estos residuos fueron convertidos en abono orgánico por medio de una técnica de Compostaje. El abono generado fue entregado a clientes y funcionarios en el festival “Amón Cultural 2017” y se sensibilizó sobre el manejo correcto de los residuos orgánicos</w:t>
            </w:r>
          </w:p>
          <w:p w:rsidR="00586429" w:rsidRPr="00586429" w:rsidRDefault="00586429" w:rsidP="00586429">
            <w:pPr>
              <w:spacing w:after="0" w:line="240" w:lineRule="auto"/>
              <w:jc w:val="both"/>
              <w:rPr>
                <w:rFonts w:ascii="Arial" w:eastAsia="Times New Roman" w:hAnsi="Arial" w:cs="Arial"/>
                <w:b/>
                <w:sz w:val="20"/>
                <w:szCs w:val="20"/>
                <w:lang w:eastAsia="es-ES"/>
              </w:rPr>
            </w:pPr>
            <w:r w:rsidRPr="00586429">
              <w:rPr>
                <w:rFonts w:ascii="Arial" w:eastAsia="Times New Roman" w:hAnsi="Arial" w:cs="Arial"/>
                <w:sz w:val="20"/>
                <w:szCs w:val="20"/>
                <w:lang w:eastAsia="es-ES"/>
              </w:rPr>
              <w:t>-Se inició con una estrategia de sustitución de plásticos de un solo uso, llamada “Iniciativa Amón”, que se realiza en conjunto con otras instituciones públicas vecinas, con el objetivo de concientizar a los comercios de ventas de comida para erradicar el uso de plásticos y sustituirlos por materiales compostables y biodegradables.</w:t>
            </w:r>
          </w:p>
        </w:tc>
      </w:tr>
      <w:tr w:rsidR="00586429" w:rsidRPr="00586429" w:rsidTr="00746DC0">
        <w:trPr>
          <w:trHeight w:val="298"/>
        </w:trPr>
        <w:tc>
          <w:tcPr>
            <w:tcW w:w="2358" w:type="pct"/>
            <w:shd w:val="clear" w:color="auto" w:fill="auto"/>
            <w:hideMark/>
          </w:tcPr>
          <w:p w:rsidR="00586429" w:rsidRPr="00586429" w:rsidRDefault="00586429" w:rsidP="00586429">
            <w:pPr>
              <w:spacing w:after="0" w:line="240" w:lineRule="auto"/>
              <w:rPr>
                <w:rFonts w:ascii="Arial" w:eastAsia="Times New Roman" w:hAnsi="Arial" w:cs="Arial"/>
                <w:b/>
                <w:sz w:val="20"/>
                <w:szCs w:val="20"/>
                <w:lang w:eastAsia="es-ES"/>
              </w:rPr>
            </w:pPr>
            <w:r w:rsidRPr="00586429">
              <w:rPr>
                <w:rFonts w:ascii="Arial" w:eastAsia="Times New Roman" w:hAnsi="Arial" w:cs="Arial"/>
                <w:b/>
                <w:sz w:val="20"/>
                <w:szCs w:val="20"/>
                <w:lang w:eastAsia="es-ES"/>
              </w:rPr>
              <w:t>b) Limitaciones:</w:t>
            </w:r>
          </w:p>
          <w:p w:rsidR="00586429" w:rsidRPr="00586429" w:rsidRDefault="00586429" w:rsidP="00586429">
            <w:pPr>
              <w:spacing w:after="0" w:line="240" w:lineRule="auto"/>
              <w:rPr>
                <w:rFonts w:ascii="Arial" w:eastAsia="Times New Roman" w:hAnsi="Arial" w:cs="Arial"/>
                <w:b/>
                <w:sz w:val="20"/>
                <w:szCs w:val="20"/>
                <w:lang w:eastAsia="es-ES"/>
              </w:rPr>
            </w:pPr>
          </w:p>
        </w:tc>
        <w:tc>
          <w:tcPr>
            <w:tcW w:w="2642" w:type="pct"/>
            <w:shd w:val="clear" w:color="auto" w:fill="auto"/>
          </w:tcPr>
          <w:p w:rsidR="00586429" w:rsidRPr="00586429" w:rsidRDefault="00586429" w:rsidP="00586429">
            <w:pPr>
              <w:spacing w:after="0" w:line="240" w:lineRule="auto"/>
              <w:rPr>
                <w:rFonts w:ascii="Arial" w:eastAsia="Times New Roman" w:hAnsi="Arial" w:cs="Arial"/>
                <w:b/>
                <w:sz w:val="20"/>
                <w:szCs w:val="20"/>
                <w:lang w:eastAsia="es-ES"/>
              </w:rPr>
            </w:pPr>
          </w:p>
        </w:tc>
      </w:tr>
      <w:tr w:rsidR="00586429" w:rsidRPr="00586429" w:rsidTr="00746DC0">
        <w:trPr>
          <w:trHeight w:val="687"/>
        </w:trPr>
        <w:tc>
          <w:tcPr>
            <w:tcW w:w="2358" w:type="pct"/>
            <w:shd w:val="clear" w:color="auto" w:fill="auto"/>
            <w:hideMark/>
          </w:tcPr>
          <w:p w:rsidR="00586429" w:rsidRPr="00586429" w:rsidRDefault="00586429" w:rsidP="00586429">
            <w:pPr>
              <w:spacing w:after="0" w:line="240" w:lineRule="auto"/>
              <w:rPr>
                <w:rFonts w:ascii="Arial" w:eastAsia="Times New Roman" w:hAnsi="Arial" w:cs="Arial"/>
                <w:b/>
                <w:sz w:val="20"/>
                <w:szCs w:val="20"/>
                <w:lang w:eastAsia="es-ES"/>
              </w:rPr>
            </w:pPr>
            <w:r w:rsidRPr="00586429">
              <w:rPr>
                <w:rFonts w:ascii="Arial" w:eastAsia="Times New Roman" w:hAnsi="Arial" w:cs="Arial"/>
                <w:b/>
                <w:sz w:val="20"/>
                <w:szCs w:val="20"/>
                <w:lang w:eastAsia="es-ES"/>
              </w:rPr>
              <w:t>c) Medidas correctivas o acciones de mejora (realizadas y por realizar) para el logro de la meta:</w:t>
            </w:r>
          </w:p>
          <w:p w:rsidR="00586429" w:rsidRPr="00586429" w:rsidRDefault="00586429" w:rsidP="00586429">
            <w:pPr>
              <w:spacing w:after="0" w:line="240" w:lineRule="auto"/>
              <w:rPr>
                <w:rFonts w:ascii="Arial" w:eastAsia="Times New Roman" w:hAnsi="Arial" w:cs="Arial"/>
                <w:b/>
                <w:sz w:val="20"/>
                <w:szCs w:val="20"/>
                <w:lang w:eastAsia="es-ES"/>
              </w:rPr>
            </w:pPr>
          </w:p>
        </w:tc>
        <w:tc>
          <w:tcPr>
            <w:tcW w:w="2642" w:type="pct"/>
            <w:shd w:val="clear" w:color="auto" w:fill="auto"/>
          </w:tcPr>
          <w:p w:rsidR="00586429" w:rsidRPr="00586429" w:rsidRDefault="00586429" w:rsidP="00586429">
            <w:pPr>
              <w:spacing w:after="0" w:line="240" w:lineRule="auto"/>
              <w:rPr>
                <w:rFonts w:ascii="Arial" w:eastAsia="Times New Roman" w:hAnsi="Arial" w:cs="Arial"/>
                <w:b/>
                <w:sz w:val="20"/>
                <w:szCs w:val="20"/>
                <w:lang w:eastAsia="es-ES"/>
              </w:rPr>
            </w:pPr>
          </w:p>
        </w:tc>
      </w:tr>
    </w:tbl>
    <w:p w:rsidR="00586429" w:rsidRPr="00586429" w:rsidRDefault="00586429" w:rsidP="00586429">
      <w:pPr>
        <w:spacing w:after="0" w:line="240" w:lineRule="auto"/>
        <w:rPr>
          <w:rFonts w:ascii="Arial" w:eastAsia="Times New Roman" w:hAnsi="Arial" w:cs="Arial"/>
          <w:b/>
          <w:sz w:val="20"/>
          <w:szCs w:val="20"/>
          <w:lang w:eastAsia="es-ES"/>
        </w:rPr>
      </w:pPr>
    </w:p>
    <w:p w:rsidR="00586429" w:rsidRPr="00586429" w:rsidRDefault="00586429" w:rsidP="00586429">
      <w:pPr>
        <w:spacing w:after="0" w:line="240" w:lineRule="auto"/>
        <w:rPr>
          <w:rFonts w:ascii="Arial" w:eastAsia="Times New Roman" w:hAnsi="Arial" w:cs="Arial"/>
          <w:sz w:val="18"/>
          <w:szCs w:val="18"/>
          <w:lang w:eastAsia="es-ES"/>
        </w:rPr>
      </w:pPr>
      <w:r w:rsidRPr="00586429">
        <w:rPr>
          <w:rFonts w:ascii="Arial" w:eastAsia="Times New Roman" w:hAnsi="Arial" w:cs="Arial"/>
          <w:sz w:val="18"/>
          <w:szCs w:val="18"/>
          <w:lang w:eastAsia="es-ES"/>
        </w:rPr>
        <w:t>Nota Fuente: Informe de rendimiento de cuentas de área. (2017)</w:t>
      </w:r>
    </w:p>
    <w:p w:rsidR="00586429" w:rsidRPr="00586429" w:rsidRDefault="00DA62C0" w:rsidP="007838FA">
      <w:pPr>
        <w:spacing w:after="0" w:line="240" w:lineRule="auto"/>
        <w:jc w:val="both"/>
        <w:rPr>
          <w:rFonts w:ascii="Arial" w:eastAsia="Times New Roman" w:hAnsi="Arial" w:cs="Arial"/>
          <w:b/>
          <w:sz w:val="20"/>
          <w:szCs w:val="20"/>
          <w:lang w:eastAsia="es-ES"/>
        </w:rPr>
      </w:pPr>
      <w:r>
        <w:rPr>
          <w:rFonts w:ascii="Arial" w:eastAsia="Times New Roman" w:hAnsi="Arial" w:cs="Arial"/>
          <w:sz w:val="20"/>
          <w:szCs w:val="20"/>
          <w:lang w:val="es-ES" w:eastAsia="es-ES"/>
        </w:rPr>
        <w:br w:type="page"/>
      </w:r>
      <w:r w:rsidR="00586429" w:rsidRPr="00586429">
        <w:rPr>
          <w:rFonts w:ascii="Arial" w:eastAsia="Times New Roman" w:hAnsi="Arial" w:cs="Arial"/>
          <w:b/>
          <w:sz w:val="20"/>
          <w:szCs w:val="20"/>
          <w:lang w:eastAsia="es-ES"/>
        </w:rPr>
        <w:lastRenderedPageBreak/>
        <w:t>Indicador N°6 Número de factores de desempeño mejorados del Índice de Gestión Institucional (IGI) para el Sector Público</w:t>
      </w:r>
    </w:p>
    <w:p w:rsidR="00586429" w:rsidRPr="00586429" w:rsidRDefault="00586429" w:rsidP="007838FA">
      <w:pPr>
        <w:spacing w:after="0" w:line="240" w:lineRule="auto"/>
        <w:jc w:val="both"/>
        <w:rPr>
          <w:rFonts w:ascii="Arial" w:eastAsia="Times New Roman" w:hAnsi="Arial" w:cs="Arial"/>
          <w:b/>
          <w:sz w:val="20"/>
          <w:szCs w:val="20"/>
          <w:lang w:eastAsia="es-ES"/>
        </w:rPr>
      </w:pPr>
    </w:p>
    <w:p w:rsidR="00586429" w:rsidRPr="00586429" w:rsidRDefault="00586429" w:rsidP="00586429">
      <w:pPr>
        <w:spacing w:after="0" w:line="240" w:lineRule="auto"/>
        <w:rPr>
          <w:rFonts w:ascii="Arial" w:eastAsia="Times New Roman" w:hAnsi="Arial" w:cs="Arial"/>
          <w:sz w:val="20"/>
          <w:szCs w:val="20"/>
          <w:lang w:eastAsia="es-ES"/>
        </w:rPr>
      </w:pPr>
      <w:r w:rsidRPr="00586429">
        <w:rPr>
          <w:rFonts w:ascii="Arial" w:eastAsia="Times New Roman" w:hAnsi="Arial" w:cs="Arial"/>
          <w:sz w:val="20"/>
          <w:szCs w:val="20"/>
          <w:lang w:eastAsia="es-ES"/>
        </w:rPr>
        <w:t>La meta anual es mejorar al menos 15 factores del Índice de Gestión (IGI), que involucra a nivel institucional los siguientes campos: planificación, presupuesto, contratación administrativa, control interno, aspectos administrativos financieros, tecnologías de información, recursos humanos, contraloría de servicios.</w:t>
      </w:r>
    </w:p>
    <w:p w:rsidR="00586429" w:rsidRPr="00586429" w:rsidRDefault="00586429" w:rsidP="00586429">
      <w:pPr>
        <w:spacing w:after="0" w:line="240" w:lineRule="auto"/>
        <w:rPr>
          <w:rFonts w:ascii="Arial" w:eastAsia="Times New Roman" w:hAnsi="Arial" w:cs="Arial"/>
          <w:sz w:val="20"/>
          <w:szCs w:val="20"/>
          <w:lang w:eastAsia="es-ES"/>
        </w:rPr>
      </w:pPr>
    </w:p>
    <w:p w:rsidR="00586429" w:rsidRPr="00586429" w:rsidRDefault="00586429" w:rsidP="00586429">
      <w:pPr>
        <w:spacing w:after="0" w:line="240" w:lineRule="auto"/>
        <w:rPr>
          <w:rFonts w:ascii="Arial" w:eastAsia="Times New Roman" w:hAnsi="Arial" w:cs="Arial"/>
          <w:sz w:val="20"/>
          <w:szCs w:val="20"/>
          <w:lang w:eastAsia="es-ES"/>
        </w:rPr>
      </w:pPr>
      <w:r w:rsidRPr="00586429">
        <w:rPr>
          <w:rFonts w:ascii="Arial" w:eastAsia="Times New Roman" w:hAnsi="Arial" w:cs="Arial"/>
          <w:sz w:val="20"/>
          <w:szCs w:val="20"/>
          <w:lang w:eastAsia="es-ES"/>
        </w:rPr>
        <w:t>A diciembre se mejoraron 12 factores de desempeño del IGI, ejecución que representa el 80% de la meta anual.</w:t>
      </w:r>
    </w:p>
    <w:p w:rsidR="00586429" w:rsidRPr="00586429" w:rsidRDefault="00586429" w:rsidP="00586429">
      <w:pPr>
        <w:spacing w:after="0" w:line="240" w:lineRule="auto"/>
        <w:rPr>
          <w:rFonts w:ascii="Arial" w:eastAsia="Times New Roman" w:hAnsi="Arial" w:cs="Arial"/>
          <w:sz w:val="20"/>
          <w:szCs w:val="20"/>
          <w:lang w:eastAsia="es-ES"/>
        </w:rPr>
      </w:pPr>
    </w:p>
    <w:p w:rsidR="00586429" w:rsidRPr="00586429" w:rsidRDefault="00586429" w:rsidP="00586429">
      <w:pPr>
        <w:spacing w:after="0" w:line="240" w:lineRule="auto"/>
        <w:rPr>
          <w:rFonts w:ascii="Arial" w:eastAsia="Times New Roman" w:hAnsi="Arial" w:cs="Arial"/>
          <w:sz w:val="20"/>
          <w:szCs w:val="20"/>
          <w:lang w:eastAsia="es-ES"/>
        </w:rPr>
      </w:pPr>
      <w:r w:rsidRPr="00586429">
        <w:rPr>
          <w:rFonts w:ascii="Arial" w:eastAsia="Times New Roman" w:hAnsi="Arial" w:cs="Arial"/>
          <w:sz w:val="20"/>
          <w:szCs w:val="20"/>
          <w:lang w:eastAsia="es-ES"/>
        </w:rPr>
        <w:t>Seguidamente se detallan las dependencias en las cuales se mejoraron los factores:</w:t>
      </w:r>
    </w:p>
    <w:p w:rsidR="00586429" w:rsidRPr="00586429" w:rsidRDefault="00586429" w:rsidP="00586429">
      <w:pPr>
        <w:spacing w:after="0" w:line="240" w:lineRule="auto"/>
        <w:rPr>
          <w:rFonts w:ascii="Arial" w:eastAsia="Times New Roman" w:hAnsi="Arial" w:cs="Arial"/>
          <w:sz w:val="20"/>
          <w:szCs w:val="20"/>
          <w:lang w:eastAsia="es-ES"/>
        </w:rPr>
      </w:pPr>
    </w:p>
    <w:p w:rsidR="00586429" w:rsidRPr="000316DE" w:rsidRDefault="00586429" w:rsidP="000316DE">
      <w:pPr>
        <w:pStyle w:val="Prrafodelista"/>
        <w:numPr>
          <w:ilvl w:val="0"/>
          <w:numId w:val="31"/>
        </w:numPr>
        <w:spacing w:after="0" w:line="240" w:lineRule="auto"/>
        <w:rPr>
          <w:rFonts w:ascii="Arial" w:eastAsia="Times New Roman" w:hAnsi="Arial" w:cs="Arial"/>
          <w:sz w:val="20"/>
          <w:szCs w:val="20"/>
          <w:lang w:eastAsia="es-ES"/>
        </w:rPr>
      </w:pPr>
      <w:r w:rsidRPr="000316DE">
        <w:rPr>
          <w:rFonts w:ascii="Arial" w:eastAsia="Times New Roman" w:hAnsi="Arial" w:cs="Arial"/>
          <w:sz w:val="20"/>
          <w:szCs w:val="20"/>
          <w:lang w:eastAsia="es-ES"/>
        </w:rPr>
        <w:t>Planificación.</w:t>
      </w:r>
    </w:p>
    <w:p w:rsidR="00586429" w:rsidRPr="000316DE" w:rsidRDefault="00586429" w:rsidP="000316DE">
      <w:pPr>
        <w:pStyle w:val="Prrafodelista"/>
        <w:numPr>
          <w:ilvl w:val="0"/>
          <w:numId w:val="31"/>
        </w:numPr>
        <w:spacing w:after="0" w:line="240" w:lineRule="auto"/>
        <w:rPr>
          <w:rFonts w:ascii="Arial" w:eastAsia="Times New Roman" w:hAnsi="Arial" w:cs="Arial"/>
          <w:sz w:val="20"/>
          <w:szCs w:val="20"/>
          <w:lang w:eastAsia="es-ES"/>
        </w:rPr>
      </w:pPr>
      <w:r w:rsidRPr="000316DE">
        <w:rPr>
          <w:rFonts w:ascii="Arial" w:eastAsia="Times New Roman" w:hAnsi="Arial" w:cs="Arial"/>
          <w:sz w:val="20"/>
          <w:szCs w:val="20"/>
          <w:lang w:eastAsia="es-ES"/>
        </w:rPr>
        <w:t>Gestión Financiero-Contable.</w:t>
      </w:r>
    </w:p>
    <w:p w:rsidR="00586429" w:rsidRPr="000316DE" w:rsidRDefault="00586429" w:rsidP="000316DE">
      <w:pPr>
        <w:pStyle w:val="Prrafodelista"/>
        <w:numPr>
          <w:ilvl w:val="0"/>
          <w:numId w:val="31"/>
        </w:numPr>
        <w:spacing w:after="0" w:line="240" w:lineRule="auto"/>
        <w:rPr>
          <w:rFonts w:ascii="Arial" w:eastAsia="Times New Roman" w:hAnsi="Arial" w:cs="Arial"/>
          <w:sz w:val="20"/>
          <w:szCs w:val="20"/>
          <w:lang w:eastAsia="es-ES"/>
        </w:rPr>
      </w:pPr>
      <w:r w:rsidRPr="000316DE">
        <w:rPr>
          <w:rFonts w:ascii="Arial" w:eastAsia="Times New Roman" w:hAnsi="Arial" w:cs="Arial"/>
          <w:sz w:val="20"/>
          <w:szCs w:val="20"/>
          <w:lang w:eastAsia="es-ES"/>
        </w:rPr>
        <w:t>Control interno.</w:t>
      </w:r>
    </w:p>
    <w:p w:rsidR="00586429" w:rsidRPr="000316DE" w:rsidRDefault="00586429" w:rsidP="000316DE">
      <w:pPr>
        <w:pStyle w:val="Prrafodelista"/>
        <w:numPr>
          <w:ilvl w:val="0"/>
          <w:numId w:val="31"/>
        </w:numPr>
        <w:spacing w:after="0" w:line="240" w:lineRule="auto"/>
        <w:rPr>
          <w:rFonts w:ascii="Arial" w:eastAsia="Times New Roman" w:hAnsi="Arial" w:cs="Arial"/>
          <w:sz w:val="20"/>
          <w:szCs w:val="20"/>
          <w:lang w:eastAsia="es-ES"/>
        </w:rPr>
      </w:pPr>
      <w:r w:rsidRPr="000316DE">
        <w:rPr>
          <w:rFonts w:ascii="Arial" w:eastAsia="Times New Roman" w:hAnsi="Arial" w:cs="Arial"/>
          <w:sz w:val="20"/>
          <w:szCs w:val="20"/>
          <w:lang w:eastAsia="es-ES"/>
        </w:rPr>
        <w:t>Contratación Administrativa.</w:t>
      </w:r>
    </w:p>
    <w:p w:rsidR="00586429" w:rsidRPr="000316DE" w:rsidRDefault="00586429" w:rsidP="000316DE">
      <w:pPr>
        <w:pStyle w:val="Prrafodelista"/>
        <w:numPr>
          <w:ilvl w:val="0"/>
          <w:numId w:val="31"/>
        </w:numPr>
        <w:spacing w:after="0" w:line="240" w:lineRule="auto"/>
        <w:rPr>
          <w:rFonts w:ascii="Arial" w:eastAsia="Times New Roman" w:hAnsi="Arial" w:cs="Arial"/>
          <w:sz w:val="20"/>
          <w:szCs w:val="20"/>
          <w:lang w:eastAsia="es-ES"/>
        </w:rPr>
      </w:pPr>
      <w:r w:rsidRPr="000316DE">
        <w:rPr>
          <w:rFonts w:ascii="Arial" w:eastAsia="Times New Roman" w:hAnsi="Arial" w:cs="Arial"/>
          <w:sz w:val="20"/>
          <w:szCs w:val="20"/>
          <w:lang w:eastAsia="es-ES"/>
        </w:rPr>
        <w:t>Recursos Humanos.</w:t>
      </w:r>
    </w:p>
    <w:p w:rsidR="00586429" w:rsidRPr="000316DE" w:rsidRDefault="00586429" w:rsidP="000316DE">
      <w:pPr>
        <w:pStyle w:val="Prrafodelista"/>
        <w:numPr>
          <w:ilvl w:val="0"/>
          <w:numId w:val="31"/>
        </w:numPr>
        <w:spacing w:after="0" w:line="240" w:lineRule="auto"/>
        <w:rPr>
          <w:rFonts w:ascii="Arial" w:eastAsia="Times New Roman" w:hAnsi="Arial" w:cs="Arial"/>
          <w:sz w:val="20"/>
          <w:szCs w:val="20"/>
          <w:lang w:eastAsia="es-ES"/>
        </w:rPr>
      </w:pPr>
      <w:r w:rsidRPr="000316DE">
        <w:rPr>
          <w:rFonts w:ascii="Arial" w:eastAsia="Times New Roman" w:hAnsi="Arial" w:cs="Arial"/>
          <w:sz w:val="20"/>
          <w:szCs w:val="20"/>
          <w:lang w:eastAsia="es-ES"/>
        </w:rPr>
        <w:t xml:space="preserve">Contraloría de Servicios. </w:t>
      </w:r>
    </w:p>
    <w:p w:rsidR="00586429" w:rsidRPr="00586429" w:rsidRDefault="00586429" w:rsidP="00586429">
      <w:pPr>
        <w:spacing w:after="0" w:line="240" w:lineRule="auto"/>
        <w:rPr>
          <w:rFonts w:ascii="Arial" w:eastAsia="Times New Roman" w:hAnsi="Arial" w:cs="Arial"/>
          <w:sz w:val="20"/>
          <w:szCs w:val="20"/>
          <w:lang w:eastAsia="es-ES"/>
        </w:rPr>
      </w:pPr>
    </w:p>
    <w:p w:rsidR="00586429" w:rsidRPr="00586429" w:rsidRDefault="00586429" w:rsidP="00586429">
      <w:pPr>
        <w:spacing w:after="0" w:line="240" w:lineRule="auto"/>
        <w:rPr>
          <w:rFonts w:ascii="Arial" w:eastAsia="Times New Roman" w:hAnsi="Arial" w:cs="Arial"/>
          <w:sz w:val="20"/>
          <w:szCs w:val="20"/>
          <w:lang w:eastAsia="es-ES"/>
        </w:rPr>
      </w:pPr>
      <w:r w:rsidRPr="00586429">
        <w:rPr>
          <w:rFonts w:ascii="Arial" w:eastAsia="Times New Roman" w:hAnsi="Arial" w:cs="Arial"/>
          <w:sz w:val="20"/>
          <w:szCs w:val="20"/>
          <w:lang w:eastAsia="es-ES"/>
        </w:rPr>
        <w:t>A continuación se muestra un detalle de lo actuado:</w:t>
      </w:r>
    </w:p>
    <w:tbl>
      <w:tblPr>
        <w:tblW w:w="9103" w:type="dxa"/>
        <w:tblBorders>
          <w:insideH w:val="single" w:sz="6" w:space="0" w:color="000000"/>
          <w:insideV w:val="single" w:sz="6" w:space="0" w:color="000000"/>
        </w:tblBorders>
        <w:tblLook w:val="04A0" w:firstRow="1" w:lastRow="0" w:firstColumn="1" w:lastColumn="0" w:noHBand="0" w:noVBand="1"/>
      </w:tblPr>
      <w:tblGrid>
        <w:gridCol w:w="4293"/>
        <w:gridCol w:w="4810"/>
      </w:tblGrid>
      <w:tr w:rsidR="00586429" w:rsidRPr="00586429" w:rsidTr="00746DC0">
        <w:trPr>
          <w:trHeight w:val="270"/>
        </w:trPr>
        <w:tc>
          <w:tcPr>
            <w:tcW w:w="5000" w:type="pct"/>
            <w:gridSpan w:val="2"/>
            <w:shd w:val="clear" w:color="auto" w:fill="auto"/>
            <w:noWrap/>
            <w:hideMark/>
          </w:tcPr>
          <w:p w:rsidR="00586429" w:rsidRPr="00586429" w:rsidRDefault="00586429" w:rsidP="00586429">
            <w:pPr>
              <w:spacing w:after="0" w:line="240" w:lineRule="auto"/>
              <w:rPr>
                <w:rFonts w:ascii="Arial" w:eastAsia="Times New Roman" w:hAnsi="Arial" w:cs="Arial"/>
                <w:b/>
                <w:sz w:val="20"/>
                <w:szCs w:val="20"/>
                <w:lang w:eastAsia="es-ES"/>
              </w:rPr>
            </w:pPr>
          </w:p>
          <w:p w:rsidR="00586429" w:rsidRPr="00586429" w:rsidRDefault="00586429" w:rsidP="00586429">
            <w:pPr>
              <w:spacing w:after="0" w:line="240" w:lineRule="auto"/>
              <w:jc w:val="center"/>
              <w:rPr>
                <w:rFonts w:ascii="Arial" w:eastAsia="Times New Roman" w:hAnsi="Arial" w:cs="Arial"/>
                <w:b/>
                <w:sz w:val="20"/>
                <w:szCs w:val="20"/>
                <w:lang w:eastAsia="es-ES"/>
              </w:rPr>
            </w:pPr>
            <w:r w:rsidRPr="00586429">
              <w:rPr>
                <w:rFonts w:ascii="Arial" w:eastAsia="Times New Roman" w:hAnsi="Arial" w:cs="Arial"/>
                <w:b/>
                <w:sz w:val="20"/>
                <w:szCs w:val="20"/>
                <w:lang w:eastAsia="es-ES"/>
              </w:rPr>
              <w:t>Tabla 5 Acciones Realizadas</w:t>
            </w:r>
          </w:p>
        </w:tc>
      </w:tr>
      <w:tr w:rsidR="00586429" w:rsidRPr="00586429" w:rsidTr="00746DC0">
        <w:trPr>
          <w:trHeight w:val="825"/>
        </w:trPr>
        <w:tc>
          <w:tcPr>
            <w:tcW w:w="2358" w:type="pct"/>
            <w:shd w:val="clear" w:color="auto" w:fill="auto"/>
            <w:hideMark/>
          </w:tcPr>
          <w:p w:rsidR="00586429" w:rsidRPr="00586429" w:rsidRDefault="00586429" w:rsidP="00586429">
            <w:pPr>
              <w:spacing w:after="0" w:line="240" w:lineRule="auto"/>
              <w:rPr>
                <w:rFonts w:ascii="Arial" w:eastAsia="Times New Roman" w:hAnsi="Arial" w:cs="Arial"/>
                <w:b/>
                <w:sz w:val="20"/>
                <w:szCs w:val="20"/>
                <w:lang w:eastAsia="es-ES"/>
              </w:rPr>
            </w:pPr>
            <w:r w:rsidRPr="00586429">
              <w:rPr>
                <w:rFonts w:ascii="Arial" w:eastAsia="Times New Roman" w:hAnsi="Arial" w:cs="Arial"/>
                <w:b/>
                <w:sz w:val="20"/>
                <w:szCs w:val="20"/>
                <w:lang w:eastAsia="es-ES"/>
              </w:rPr>
              <w:t>a) Actividades realizadas:</w:t>
            </w:r>
          </w:p>
          <w:p w:rsidR="00586429" w:rsidRPr="00586429" w:rsidRDefault="00586429" w:rsidP="00586429">
            <w:pPr>
              <w:spacing w:after="0" w:line="240" w:lineRule="auto"/>
              <w:rPr>
                <w:rFonts w:ascii="Arial" w:eastAsia="Times New Roman" w:hAnsi="Arial" w:cs="Arial"/>
                <w:b/>
                <w:sz w:val="20"/>
                <w:szCs w:val="20"/>
                <w:lang w:eastAsia="es-ES"/>
              </w:rPr>
            </w:pPr>
          </w:p>
        </w:tc>
        <w:tc>
          <w:tcPr>
            <w:tcW w:w="2642" w:type="pct"/>
            <w:shd w:val="clear" w:color="auto" w:fill="auto"/>
          </w:tcPr>
          <w:p w:rsidR="00586429" w:rsidRPr="00586429" w:rsidRDefault="00586429" w:rsidP="00586429">
            <w:pPr>
              <w:spacing w:after="0" w:line="240" w:lineRule="auto"/>
              <w:jc w:val="both"/>
              <w:rPr>
                <w:rFonts w:ascii="Arial" w:eastAsia="Times New Roman" w:hAnsi="Arial" w:cs="Arial"/>
                <w:sz w:val="20"/>
                <w:szCs w:val="20"/>
                <w:lang w:eastAsia="es-ES"/>
              </w:rPr>
            </w:pPr>
            <w:r w:rsidRPr="00586429">
              <w:rPr>
                <w:rFonts w:ascii="Arial" w:eastAsia="Times New Roman" w:hAnsi="Arial" w:cs="Arial"/>
                <w:sz w:val="20"/>
                <w:szCs w:val="20"/>
                <w:lang w:eastAsia="es-ES"/>
              </w:rPr>
              <w:t>- Se solicitó por parte de Planificación Institucional un plan de trabajo a los responsables, con el objetivo de revertir el estado negativo de los factores de gestión, de la evaluación del 2016.</w:t>
            </w:r>
          </w:p>
          <w:p w:rsidR="00586429" w:rsidRPr="00586429" w:rsidRDefault="00586429" w:rsidP="00586429">
            <w:pPr>
              <w:spacing w:after="0" w:line="240" w:lineRule="auto"/>
              <w:jc w:val="both"/>
              <w:rPr>
                <w:rFonts w:ascii="Arial" w:eastAsia="Times New Roman" w:hAnsi="Arial" w:cs="Arial"/>
                <w:sz w:val="20"/>
                <w:szCs w:val="20"/>
                <w:lang w:eastAsia="es-ES"/>
              </w:rPr>
            </w:pPr>
            <w:r w:rsidRPr="00586429">
              <w:rPr>
                <w:rFonts w:ascii="Arial" w:eastAsia="Times New Roman" w:hAnsi="Arial" w:cs="Arial"/>
                <w:sz w:val="20"/>
                <w:szCs w:val="20"/>
                <w:lang w:eastAsia="es-ES"/>
              </w:rPr>
              <w:t>- Se obtuvo el plan de mejora de algunas dependencias.</w:t>
            </w:r>
          </w:p>
          <w:p w:rsidR="00586429" w:rsidRPr="00586429" w:rsidRDefault="00586429" w:rsidP="00586429">
            <w:pPr>
              <w:spacing w:after="0" w:line="240" w:lineRule="auto"/>
              <w:jc w:val="both"/>
              <w:rPr>
                <w:rFonts w:ascii="Arial" w:eastAsia="Times New Roman" w:hAnsi="Arial" w:cs="Arial"/>
                <w:sz w:val="20"/>
                <w:szCs w:val="20"/>
                <w:lang w:eastAsia="es-ES"/>
              </w:rPr>
            </w:pPr>
            <w:r w:rsidRPr="00586429">
              <w:rPr>
                <w:rFonts w:ascii="Arial" w:eastAsia="Times New Roman" w:hAnsi="Arial" w:cs="Arial"/>
                <w:sz w:val="20"/>
                <w:szCs w:val="20"/>
                <w:lang w:eastAsia="es-ES"/>
              </w:rPr>
              <w:t>- Se brindó seguimiento a más de doce factores, susceptibles de mejora.</w:t>
            </w:r>
          </w:p>
          <w:p w:rsidR="00586429" w:rsidRPr="00586429" w:rsidRDefault="00586429" w:rsidP="00586429">
            <w:pPr>
              <w:spacing w:after="0" w:line="240" w:lineRule="auto"/>
              <w:jc w:val="both"/>
              <w:rPr>
                <w:rFonts w:ascii="Arial" w:eastAsia="Times New Roman" w:hAnsi="Arial" w:cs="Arial"/>
                <w:sz w:val="20"/>
                <w:szCs w:val="20"/>
                <w:lang w:eastAsia="es-ES"/>
              </w:rPr>
            </w:pPr>
            <w:r w:rsidRPr="00586429">
              <w:rPr>
                <w:rFonts w:ascii="Arial" w:eastAsia="Times New Roman" w:hAnsi="Arial" w:cs="Arial"/>
                <w:sz w:val="20"/>
                <w:szCs w:val="20"/>
                <w:lang w:eastAsia="es-ES"/>
              </w:rPr>
              <w:t>- Se verificó el grado de cumplimiento de los factores mejorados a la fecha.</w:t>
            </w:r>
          </w:p>
        </w:tc>
      </w:tr>
      <w:tr w:rsidR="00586429" w:rsidRPr="00586429" w:rsidTr="00746DC0">
        <w:trPr>
          <w:trHeight w:val="705"/>
        </w:trPr>
        <w:tc>
          <w:tcPr>
            <w:tcW w:w="2358" w:type="pct"/>
            <w:shd w:val="clear" w:color="auto" w:fill="auto"/>
            <w:hideMark/>
          </w:tcPr>
          <w:p w:rsidR="00586429" w:rsidRPr="00586429" w:rsidRDefault="00586429" w:rsidP="00586429">
            <w:pPr>
              <w:spacing w:after="0" w:line="240" w:lineRule="auto"/>
              <w:rPr>
                <w:rFonts w:ascii="Arial" w:eastAsia="Times New Roman" w:hAnsi="Arial" w:cs="Arial"/>
                <w:b/>
                <w:sz w:val="20"/>
                <w:szCs w:val="20"/>
                <w:lang w:eastAsia="es-ES"/>
              </w:rPr>
            </w:pPr>
            <w:r w:rsidRPr="00586429">
              <w:rPr>
                <w:rFonts w:ascii="Arial" w:eastAsia="Times New Roman" w:hAnsi="Arial" w:cs="Arial"/>
                <w:b/>
                <w:sz w:val="20"/>
                <w:szCs w:val="20"/>
                <w:lang w:eastAsia="es-ES"/>
              </w:rPr>
              <w:t xml:space="preserve">b) Limitaciones: </w:t>
            </w:r>
          </w:p>
          <w:p w:rsidR="00586429" w:rsidRPr="00586429" w:rsidRDefault="00586429" w:rsidP="00586429">
            <w:pPr>
              <w:spacing w:after="0" w:line="240" w:lineRule="auto"/>
              <w:rPr>
                <w:rFonts w:ascii="Arial" w:eastAsia="Times New Roman" w:hAnsi="Arial" w:cs="Arial"/>
                <w:b/>
                <w:sz w:val="20"/>
                <w:szCs w:val="20"/>
                <w:lang w:eastAsia="es-ES"/>
              </w:rPr>
            </w:pPr>
          </w:p>
          <w:p w:rsidR="00586429" w:rsidRPr="00586429" w:rsidRDefault="00586429" w:rsidP="00586429">
            <w:pPr>
              <w:spacing w:after="0" w:line="240" w:lineRule="auto"/>
              <w:rPr>
                <w:rFonts w:ascii="Arial" w:eastAsia="Times New Roman" w:hAnsi="Arial" w:cs="Arial"/>
                <w:b/>
                <w:sz w:val="20"/>
                <w:szCs w:val="20"/>
                <w:lang w:eastAsia="es-ES"/>
              </w:rPr>
            </w:pPr>
          </w:p>
        </w:tc>
        <w:tc>
          <w:tcPr>
            <w:tcW w:w="2642" w:type="pct"/>
            <w:shd w:val="clear" w:color="auto" w:fill="auto"/>
          </w:tcPr>
          <w:p w:rsidR="00586429" w:rsidRPr="00586429" w:rsidRDefault="00586429" w:rsidP="00586429">
            <w:pPr>
              <w:spacing w:after="0" w:line="240" w:lineRule="auto"/>
              <w:jc w:val="both"/>
              <w:rPr>
                <w:rFonts w:ascii="Arial" w:eastAsia="Times New Roman" w:hAnsi="Arial" w:cs="Arial"/>
                <w:sz w:val="20"/>
                <w:szCs w:val="20"/>
                <w:lang w:eastAsia="es-ES"/>
              </w:rPr>
            </w:pPr>
            <w:r w:rsidRPr="00586429">
              <w:rPr>
                <w:rFonts w:ascii="Arial" w:eastAsia="Times New Roman" w:hAnsi="Arial" w:cs="Arial"/>
                <w:sz w:val="20"/>
                <w:szCs w:val="20"/>
                <w:lang w:eastAsia="es-ES"/>
              </w:rPr>
              <w:t xml:space="preserve">- Respuesta no oportuna por parte de los responsables, sobre el plan de acción para mejorar los factores a cargo de sus dependencias. </w:t>
            </w:r>
          </w:p>
        </w:tc>
      </w:tr>
      <w:tr w:rsidR="00586429" w:rsidRPr="00586429" w:rsidTr="00746DC0">
        <w:trPr>
          <w:trHeight w:val="471"/>
        </w:trPr>
        <w:tc>
          <w:tcPr>
            <w:tcW w:w="2358" w:type="pct"/>
            <w:shd w:val="clear" w:color="auto" w:fill="auto"/>
            <w:hideMark/>
          </w:tcPr>
          <w:p w:rsidR="00586429" w:rsidRPr="00586429" w:rsidRDefault="00586429" w:rsidP="00586429">
            <w:pPr>
              <w:spacing w:after="0" w:line="240" w:lineRule="auto"/>
              <w:rPr>
                <w:rFonts w:ascii="Arial" w:eastAsia="Times New Roman" w:hAnsi="Arial" w:cs="Arial"/>
                <w:b/>
                <w:sz w:val="20"/>
                <w:szCs w:val="20"/>
                <w:lang w:eastAsia="es-ES"/>
              </w:rPr>
            </w:pPr>
            <w:r w:rsidRPr="00586429">
              <w:rPr>
                <w:rFonts w:ascii="Arial" w:eastAsia="Times New Roman" w:hAnsi="Arial" w:cs="Arial"/>
                <w:b/>
                <w:sz w:val="20"/>
                <w:szCs w:val="20"/>
                <w:lang w:eastAsia="es-ES"/>
              </w:rPr>
              <w:t>c) Medidas correctivas o acciones de mejora (realizadas y por realizar) para el logro de la meta:</w:t>
            </w:r>
          </w:p>
          <w:p w:rsidR="00586429" w:rsidRPr="00586429" w:rsidRDefault="00586429" w:rsidP="00586429">
            <w:pPr>
              <w:spacing w:after="0" w:line="240" w:lineRule="auto"/>
              <w:rPr>
                <w:rFonts w:ascii="Arial" w:eastAsia="Times New Roman" w:hAnsi="Arial" w:cs="Arial"/>
                <w:b/>
                <w:sz w:val="20"/>
                <w:szCs w:val="20"/>
                <w:lang w:eastAsia="es-ES"/>
              </w:rPr>
            </w:pPr>
          </w:p>
          <w:p w:rsidR="00586429" w:rsidRPr="00586429" w:rsidRDefault="00586429" w:rsidP="00586429">
            <w:pPr>
              <w:spacing w:after="0" w:line="240" w:lineRule="auto"/>
              <w:rPr>
                <w:rFonts w:ascii="Arial" w:eastAsia="Times New Roman" w:hAnsi="Arial" w:cs="Arial"/>
                <w:b/>
                <w:sz w:val="20"/>
                <w:szCs w:val="20"/>
                <w:lang w:eastAsia="es-ES"/>
              </w:rPr>
            </w:pPr>
          </w:p>
        </w:tc>
        <w:tc>
          <w:tcPr>
            <w:tcW w:w="2642" w:type="pct"/>
            <w:shd w:val="clear" w:color="auto" w:fill="auto"/>
          </w:tcPr>
          <w:p w:rsidR="00586429" w:rsidRPr="00586429" w:rsidRDefault="00586429" w:rsidP="00586429">
            <w:pPr>
              <w:spacing w:after="0" w:line="240" w:lineRule="auto"/>
              <w:jc w:val="both"/>
              <w:rPr>
                <w:rFonts w:ascii="Arial" w:eastAsia="Times New Roman" w:hAnsi="Arial" w:cs="Arial"/>
                <w:sz w:val="20"/>
                <w:szCs w:val="20"/>
                <w:lang w:eastAsia="es-ES"/>
              </w:rPr>
            </w:pPr>
            <w:r w:rsidRPr="00586429">
              <w:rPr>
                <w:rFonts w:ascii="Arial" w:eastAsia="Times New Roman" w:hAnsi="Arial" w:cs="Arial"/>
                <w:sz w:val="20"/>
                <w:szCs w:val="20"/>
                <w:lang w:eastAsia="es-ES"/>
              </w:rPr>
              <w:t xml:space="preserve">- Seguimiento constante desde Planificación Institucional con las jefaturas para contribuir al logro de la meta. </w:t>
            </w:r>
          </w:p>
          <w:p w:rsidR="00586429" w:rsidRPr="00586429" w:rsidRDefault="00586429" w:rsidP="00586429">
            <w:pPr>
              <w:spacing w:after="0" w:line="240" w:lineRule="auto"/>
              <w:jc w:val="both"/>
              <w:rPr>
                <w:rFonts w:ascii="Arial" w:eastAsia="Times New Roman" w:hAnsi="Arial" w:cs="Arial"/>
                <w:sz w:val="20"/>
                <w:szCs w:val="20"/>
                <w:lang w:eastAsia="es-ES"/>
              </w:rPr>
            </w:pPr>
          </w:p>
        </w:tc>
      </w:tr>
      <w:tr w:rsidR="00586429" w:rsidRPr="00586429" w:rsidTr="00746DC0">
        <w:trPr>
          <w:trHeight w:val="262"/>
        </w:trPr>
        <w:tc>
          <w:tcPr>
            <w:tcW w:w="2358" w:type="pct"/>
            <w:shd w:val="clear" w:color="auto" w:fill="auto"/>
          </w:tcPr>
          <w:p w:rsidR="00586429" w:rsidRPr="00586429" w:rsidRDefault="00586429" w:rsidP="00586429">
            <w:pPr>
              <w:spacing w:after="0" w:line="240" w:lineRule="auto"/>
              <w:rPr>
                <w:rFonts w:ascii="Arial" w:eastAsia="Times New Roman" w:hAnsi="Arial" w:cs="Arial"/>
                <w:b/>
                <w:sz w:val="20"/>
                <w:szCs w:val="20"/>
                <w:lang w:eastAsia="es-ES"/>
              </w:rPr>
            </w:pPr>
            <w:r w:rsidRPr="00586429">
              <w:rPr>
                <w:rFonts w:ascii="Arial" w:eastAsia="Times New Roman" w:hAnsi="Arial" w:cs="Arial"/>
                <w:b/>
                <w:sz w:val="20"/>
                <w:szCs w:val="20"/>
                <w:lang w:eastAsia="es-ES"/>
              </w:rPr>
              <w:t>d) Observaciones:</w:t>
            </w:r>
          </w:p>
        </w:tc>
        <w:tc>
          <w:tcPr>
            <w:tcW w:w="2642" w:type="pct"/>
            <w:shd w:val="clear" w:color="auto" w:fill="auto"/>
          </w:tcPr>
          <w:p w:rsidR="00586429" w:rsidRPr="00586429" w:rsidRDefault="00586429" w:rsidP="00586429">
            <w:pPr>
              <w:spacing w:after="0" w:line="240" w:lineRule="auto"/>
              <w:rPr>
                <w:rFonts w:ascii="Arial" w:eastAsia="Times New Roman" w:hAnsi="Arial" w:cs="Arial"/>
                <w:b/>
                <w:sz w:val="20"/>
                <w:szCs w:val="20"/>
                <w:lang w:eastAsia="es-ES"/>
              </w:rPr>
            </w:pPr>
          </w:p>
        </w:tc>
      </w:tr>
    </w:tbl>
    <w:p w:rsidR="00586429" w:rsidRPr="00586429" w:rsidRDefault="00586429" w:rsidP="00586429">
      <w:pPr>
        <w:spacing w:after="0" w:line="240" w:lineRule="auto"/>
        <w:rPr>
          <w:rFonts w:ascii="Arial" w:eastAsia="Times New Roman" w:hAnsi="Arial" w:cs="Arial"/>
          <w:b/>
          <w:sz w:val="20"/>
          <w:szCs w:val="20"/>
          <w:lang w:eastAsia="es-ES"/>
        </w:rPr>
      </w:pPr>
    </w:p>
    <w:p w:rsidR="00586429" w:rsidRPr="000316DE" w:rsidRDefault="00586429" w:rsidP="00586429">
      <w:pPr>
        <w:spacing w:after="0" w:line="240" w:lineRule="auto"/>
        <w:rPr>
          <w:rFonts w:ascii="Arial" w:eastAsia="Times New Roman" w:hAnsi="Arial" w:cs="Arial"/>
          <w:sz w:val="18"/>
          <w:szCs w:val="18"/>
          <w:lang w:eastAsia="es-ES"/>
        </w:rPr>
      </w:pPr>
      <w:r w:rsidRPr="000316DE">
        <w:rPr>
          <w:rFonts w:ascii="Arial" w:eastAsia="Times New Roman" w:hAnsi="Arial" w:cs="Arial"/>
          <w:sz w:val="18"/>
          <w:szCs w:val="18"/>
          <w:lang w:eastAsia="es-ES"/>
        </w:rPr>
        <w:t>Nota Fuente: Informe de rendimiento de cuentas de área. (2017)</w:t>
      </w:r>
    </w:p>
    <w:p w:rsidR="00DA62C0" w:rsidRPr="000316DE" w:rsidRDefault="00DA62C0">
      <w:pPr>
        <w:rPr>
          <w:rFonts w:ascii="Arial" w:eastAsia="Times New Roman" w:hAnsi="Arial" w:cs="Arial"/>
          <w:sz w:val="18"/>
          <w:szCs w:val="18"/>
          <w:lang w:val="es-ES" w:eastAsia="es-ES"/>
        </w:rPr>
      </w:pPr>
    </w:p>
    <w:p w:rsidR="00DA62C0" w:rsidRDefault="00DA62C0">
      <w:pPr>
        <w:rPr>
          <w:rFonts w:ascii="Arial" w:eastAsia="Times New Roman" w:hAnsi="Arial" w:cs="Arial"/>
          <w:sz w:val="20"/>
          <w:szCs w:val="20"/>
          <w:lang w:val="es-ES" w:eastAsia="es-ES"/>
        </w:rPr>
      </w:pPr>
      <w:r>
        <w:rPr>
          <w:rFonts w:ascii="Arial" w:eastAsia="Times New Roman" w:hAnsi="Arial" w:cs="Arial"/>
          <w:sz w:val="20"/>
          <w:szCs w:val="20"/>
          <w:lang w:val="es-ES" w:eastAsia="es-ES"/>
        </w:rPr>
        <w:br w:type="page"/>
      </w:r>
    </w:p>
    <w:p w:rsidR="00221A24" w:rsidRPr="00221A24" w:rsidRDefault="00221A24" w:rsidP="007838FA">
      <w:pPr>
        <w:spacing w:after="0" w:line="240" w:lineRule="auto"/>
        <w:jc w:val="both"/>
        <w:rPr>
          <w:rFonts w:ascii="Arial" w:eastAsia="Times New Roman" w:hAnsi="Arial" w:cs="Arial"/>
          <w:b/>
          <w:sz w:val="20"/>
          <w:szCs w:val="20"/>
          <w:lang w:eastAsia="es-ES"/>
        </w:rPr>
      </w:pPr>
      <w:r w:rsidRPr="00221A24">
        <w:rPr>
          <w:rFonts w:ascii="Arial" w:eastAsia="Times New Roman" w:hAnsi="Arial" w:cs="Arial"/>
          <w:b/>
          <w:sz w:val="20"/>
          <w:szCs w:val="20"/>
          <w:lang w:eastAsia="es-ES"/>
        </w:rPr>
        <w:lastRenderedPageBreak/>
        <w:t>Indicador N°7 Porcentaje de satisfacción de los clientes con los servicios brindados</w:t>
      </w:r>
    </w:p>
    <w:p w:rsidR="00221A24" w:rsidRPr="00221A24" w:rsidRDefault="00221A24" w:rsidP="00221A24">
      <w:pPr>
        <w:spacing w:after="0" w:line="240" w:lineRule="auto"/>
        <w:rPr>
          <w:rFonts w:ascii="Arial" w:eastAsia="Times New Roman" w:hAnsi="Arial" w:cs="Arial"/>
          <w:b/>
          <w:sz w:val="20"/>
          <w:szCs w:val="20"/>
          <w:lang w:eastAsia="es-ES"/>
        </w:rPr>
      </w:pPr>
    </w:p>
    <w:p w:rsidR="00221A24" w:rsidRPr="00221A24" w:rsidRDefault="00221A24" w:rsidP="00221A24">
      <w:pPr>
        <w:spacing w:after="0" w:line="240" w:lineRule="auto"/>
        <w:jc w:val="both"/>
        <w:rPr>
          <w:rFonts w:ascii="Arial" w:eastAsia="Times New Roman" w:hAnsi="Arial" w:cs="Arial"/>
          <w:sz w:val="20"/>
          <w:szCs w:val="20"/>
          <w:lang w:eastAsia="es-ES"/>
        </w:rPr>
      </w:pPr>
      <w:r w:rsidRPr="00221A24">
        <w:rPr>
          <w:rFonts w:ascii="Arial" w:eastAsia="Times New Roman" w:hAnsi="Arial" w:cs="Arial"/>
          <w:sz w:val="20"/>
          <w:szCs w:val="20"/>
          <w:lang w:eastAsia="es-ES"/>
        </w:rPr>
        <w:t xml:space="preserve">A diciembre se trabajó en  aspectos generales que permitirán aplicar el instrumento (encuesta) a los clientes de las diferentes áreas de la Institución, en el </w:t>
      </w:r>
      <w:r w:rsidR="009E561D" w:rsidRPr="00221A24">
        <w:rPr>
          <w:rFonts w:ascii="Arial" w:eastAsia="Times New Roman" w:hAnsi="Arial" w:cs="Arial"/>
          <w:sz w:val="20"/>
          <w:szCs w:val="20"/>
          <w:lang w:eastAsia="es-ES"/>
        </w:rPr>
        <w:t>período</w:t>
      </w:r>
      <w:r w:rsidRPr="00221A24">
        <w:rPr>
          <w:rFonts w:ascii="Arial" w:eastAsia="Times New Roman" w:hAnsi="Arial" w:cs="Arial"/>
          <w:sz w:val="20"/>
          <w:szCs w:val="20"/>
          <w:lang w:eastAsia="es-ES"/>
        </w:rPr>
        <w:t xml:space="preserve"> 2018. </w:t>
      </w:r>
    </w:p>
    <w:p w:rsidR="00221A24" w:rsidRPr="00221A24" w:rsidRDefault="00221A24" w:rsidP="00221A24">
      <w:pPr>
        <w:spacing w:after="0" w:line="240" w:lineRule="auto"/>
        <w:jc w:val="both"/>
        <w:rPr>
          <w:rFonts w:ascii="Arial" w:eastAsia="Times New Roman" w:hAnsi="Arial" w:cs="Arial"/>
          <w:sz w:val="20"/>
          <w:szCs w:val="20"/>
          <w:lang w:eastAsia="es-ES"/>
        </w:rPr>
      </w:pPr>
    </w:p>
    <w:p w:rsidR="00221A24" w:rsidRPr="00221A24" w:rsidRDefault="00221A24" w:rsidP="00221A24">
      <w:pPr>
        <w:spacing w:after="0" w:line="240" w:lineRule="auto"/>
        <w:jc w:val="both"/>
        <w:rPr>
          <w:rFonts w:ascii="Arial" w:eastAsia="Times New Roman" w:hAnsi="Arial" w:cs="Arial"/>
          <w:sz w:val="20"/>
          <w:szCs w:val="20"/>
          <w:lang w:eastAsia="es-ES"/>
        </w:rPr>
      </w:pPr>
      <w:r w:rsidRPr="00221A24">
        <w:rPr>
          <w:rFonts w:ascii="Arial" w:eastAsia="Times New Roman" w:hAnsi="Arial" w:cs="Arial"/>
          <w:sz w:val="20"/>
          <w:szCs w:val="20"/>
          <w:lang w:eastAsia="es-ES"/>
        </w:rPr>
        <w:t>Seguidamente se muestra un detalle de lo actuado:</w:t>
      </w:r>
    </w:p>
    <w:p w:rsidR="00221A24" w:rsidRPr="00221A24" w:rsidRDefault="00221A24" w:rsidP="00221A24">
      <w:pPr>
        <w:spacing w:after="0" w:line="240" w:lineRule="auto"/>
        <w:rPr>
          <w:rFonts w:ascii="Arial" w:eastAsia="Times New Roman" w:hAnsi="Arial" w:cs="Arial"/>
          <w:b/>
          <w:sz w:val="20"/>
          <w:szCs w:val="20"/>
          <w:lang w:eastAsia="es-ES"/>
        </w:rPr>
      </w:pPr>
    </w:p>
    <w:p w:rsidR="00221A24" w:rsidRPr="00221A24" w:rsidRDefault="00221A24" w:rsidP="00221A24">
      <w:pPr>
        <w:spacing w:after="0" w:line="240" w:lineRule="auto"/>
        <w:rPr>
          <w:rFonts w:ascii="Arial" w:eastAsia="Times New Roman" w:hAnsi="Arial" w:cs="Arial"/>
          <w:b/>
          <w:sz w:val="20"/>
          <w:szCs w:val="20"/>
          <w:lang w:eastAsia="es-ES"/>
        </w:rPr>
      </w:pPr>
    </w:p>
    <w:tbl>
      <w:tblPr>
        <w:tblW w:w="9103" w:type="dxa"/>
        <w:tblBorders>
          <w:insideH w:val="single" w:sz="6" w:space="0" w:color="000000"/>
          <w:insideV w:val="single" w:sz="6" w:space="0" w:color="000000"/>
        </w:tblBorders>
        <w:tblLook w:val="04A0" w:firstRow="1" w:lastRow="0" w:firstColumn="1" w:lastColumn="0" w:noHBand="0" w:noVBand="1"/>
      </w:tblPr>
      <w:tblGrid>
        <w:gridCol w:w="4293"/>
        <w:gridCol w:w="4810"/>
      </w:tblGrid>
      <w:tr w:rsidR="00221A24" w:rsidRPr="00221A24" w:rsidTr="00746DC0">
        <w:trPr>
          <w:trHeight w:val="270"/>
        </w:trPr>
        <w:tc>
          <w:tcPr>
            <w:tcW w:w="5000" w:type="pct"/>
            <w:gridSpan w:val="2"/>
            <w:shd w:val="clear" w:color="auto" w:fill="auto"/>
            <w:noWrap/>
            <w:hideMark/>
          </w:tcPr>
          <w:p w:rsidR="00221A24" w:rsidRPr="00221A24" w:rsidRDefault="00221A24" w:rsidP="00221A24">
            <w:pPr>
              <w:spacing w:after="0" w:line="240" w:lineRule="auto"/>
              <w:rPr>
                <w:rFonts w:ascii="Arial" w:eastAsia="Times New Roman" w:hAnsi="Arial" w:cs="Arial"/>
                <w:b/>
                <w:sz w:val="20"/>
                <w:szCs w:val="20"/>
                <w:lang w:eastAsia="es-ES"/>
              </w:rPr>
            </w:pPr>
          </w:p>
          <w:p w:rsidR="00221A24" w:rsidRPr="00221A24" w:rsidRDefault="00221A24" w:rsidP="00744CE6">
            <w:pPr>
              <w:spacing w:after="0" w:line="240" w:lineRule="auto"/>
              <w:jc w:val="center"/>
              <w:rPr>
                <w:rFonts w:ascii="Arial" w:eastAsia="Times New Roman" w:hAnsi="Arial" w:cs="Arial"/>
                <w:b/>
                <w:sz w:val="20"/>
                <w:szCs w:val="20"/>
                <w:lang w:eastAsia="es-ES"/>
              </w:rPr>
            </w:pPr>
            <w:r w:rsidRPr="00221A24">
              <w:rPr>
                <w:rFonts w:ascii="Arial" w:eastAsia="Times New Roman" w:hAnsi="Arial" w:cs="Arial"/>
                <w:b/>
                <w:sz w:val="20"/>
                <w:szCs w:val="20"/>
                <w:lang w:eastAsia="es-ES"/>
              </w:rPr>
              <w:t>Tabla 6 Acciones Realizadas</w:t>
            </w:r>
          </w:p>
        </w:tc>
      </w:tr>
      <w:tr w:rsidR="00221A24" w:rsidRPr="00221A24" w:rsidTr="00746DC0">
        <w:trPr>
          <w:trHeight w:val="825"/>
        </w:trPr>
        <w:tc>
          <w:tcPr>
            <w:tcW w:w="2358" w:type="pct"/>
            <w:shd w:val="clear" w:color="auto" w:fill="auto"/>
            <w:hideMark/>
          </w:tcPr>
          <w:p w:rsidR="00221A24" w:rsidRPr="00221A24" w:rsidRDefault="00221A24" w:rsidP="00221A24">
            <w:pPr>
              <w:spacing w:after="0" w:line="240" w:lineRule="auto"/>
              <w:rPr>
                <w:rFonts w:ascii="Arial" w:eastAsia="Times New Roman" w:hAnsi="Arial" w:cs="Arial"/>
                <w:b/>
                <w:sz w:val="20"/>
                <w:szCs w:val="20"/>
                <w:lang w:eastAsia="es-ES"/>
              </w:rPr>
            </w:pPr>
            <w:r w:rsidRPr="00221A24">
              <w:rPr>
                <w:rFonts w:ascii="Arial" w:eastAsia="Times New Roman" w:hAnsi="Arial" w:cs="Arial"/>
                <w:b/>
                <w:sz w:val="20"/>
                <w:szCs w:val="20"/>
                <w:lang w:eastAsia="es-ES"/>
              </w:rPr>
              <w:t>a) Actividades realizadas:</w:t>
            </w:r>
          </w:p>
          <w:p w:rsidR="00221A24" w:rsidRPr="00221A24" w:rsidRDefault="00221A24" w:rsidP="00221A24">
            <w:pPr>
              <w:spacing w:after="0" w:line="240" w:lineRule="auto"/>
              <w:rPr>
                <w:rFonts w:ascii="Arial" w:eastAsia="Times New Roman" w:hAnsi="Arial" w:cs="Arial"/>
                <w:b/>
                <w:sz w:val="20"/>
                <w:szCs w:val="20"/>
                <w:lang w:eastAsia="es-ES"/>
              </w:rPr>
            </w:pPr>
          </w:p>
        </w:tc>
        <w:tc>
          <w:tcPr>
            <w:tcW w:w="2642" w:type="pct"/>
            <w:shd w:val="clear" w:color="auto" w:fill="auto"/>
          </w:tcPr>
          <w:p w:rsidR="00221A24" w:rsidRPr="009E561D" w:rsidRDefault="00221A24" w:rsidP="00221A24">
            <w:pPr>
              <w:spacing w:after="0" w:line="240" w:lineRule="auto"/>
              <w:jc w:val="both"/>
              <w:rPr>
                <w:rFonts w:ascii="Arial" w:eastAsia="Times New Roman" w:hAnsi="Arial" w:cs="Arial"/>
                <w:sz w:val="20"/>
                <w:szCs w:val="20"/>
                <w:lang w:eastAsia="es-ES"/>
              </w:rPr>
            </w:pPr>
            <w:r w:rsidRPr="009E561D">
              <w:rPr>
                <w:rFonts w:ascii="Arial" w:eastAsia="Times New Roman" w:hAnsi="Arial" w:cs="Arial"/>
                <w:sz w:val="20"/>
                <w:szCs w:val="20"/>
                <w:lang w:eastAsia="es-ES"/>
              </w:rPr>
              <w:t>- Elaboración del instrumento (encuesta) para medir el grado de satisfacción de los clientes externos.</w:t>
            </w:r>
          </w:p>
          <w:p w:rsidR="00221A24" w:rsidRPr="009E561D" w:rsidRDefault="00221A24" w:rsidP="00221A24">
            <w:pPr>
              <w:spacing w:after="0" w:line="240" w:lineRule="auto"/>
              <w:jc w:val="both"/>
              <w:rPr>
                <w:rFonts w:ascii="Arial" w:eastAsia="Times New Roman" w:hAnsi="Arial" w:cs="Arial"/>
                <w:sz w:val="20"/>
                <w:szCs w:val="20"/>
                <w:lang w:eastAsia="es-ES"/>
              </w:rPr>
            </w:pPr>
            <w:r w:rsidRPr="009E561D">
              <w:rPr>
                <w:rFonts w:ascii="Arial" w:eastAsia="Times New Roman" w:hAnsi="Arial" w:cs="Arial"/>
                <w:sz w:val="20"/>
                <w:szCs w:val="20"/>
                <w:lang w:eastAsia="es-ES"/>
              </w:rPr>
              <w:t>- Se realizó la compra de buzones, mediante el proceso de contratación directa.</w:t>
            </w:r>
          </w:p>
          <w:p w:rsidR="00221A24" w:rsidRPr="009E561D" w:rsidRDefault="00221A24" w:rsidP="00221A24">
            <w:pPr>
              <w:spacing w:after="0" w:line="240" w:lineRule="auto"/>
              <w:jc w:val="both"/>
              <w:rPr>
                <w:rFonts w:ascii="Arial" w:eastAsia="Times New Roman" w:hAnsi="Arial" w:cs="Arial"/>
                <w:sz w:val="20"/>
                <w:szCs w:val="20"/>
                <w:lang w:eastAsia="es-ES"/>
              </w:rPr>
            </w:pPr>
            <w:r w:rsidRPr="009E561D">
              <w:rPr>
                <w:rFonts w:ascii="Arial" w:eastAsia="Times New Roman" w:hAnsi="Arial" w:cs="Arial"/>
                <w:sz w:val="20"/>
                <w:szCs w:val="20"/>
                <w:lang w:eastAsia="es-ES"/>
              </w:rPr>
              <w:t>- Se gestionó la impresión de las encuestas.</w:t>
            </w:r>
          </w:p>
          <w:p w:rsidR="00221A24" w:rsidRPr="009E561D" w:rsidRDefault="00221A24" w:rsidP="00221A24">
            <w:pPr>
              <w:spacing w:after="0" w:line="240" w:lineRule="auto"/>
              <w:jc w:val="both"/>
              <w:rPr>
                <w:rFonts w:ascii="Arial" w:eastAsia="Times New Roman" w:hAnsi="Arial" w:cs="Arial"/>
                <w:sz w:val="20"/>
                <w:szCs w:val="20"/>
                <w:lang w:eastAsia="es-ES"/>
              </w:rPr>
            </w:pPr>
            <w:r w:rsidRPr="009E561D">
              <w:rPr>
                <w:rFonts w:ascii="Arial" w:eastAsia="Times New Roman" w:hAnsi="Arial" w:cs="Arial"/>
                <w:sz w:val="20"/>
                <w:szCs w:val="20"/>
                <w:lang w:eastAsia="es-ES"/>
              </w:rPr>
              <w:t>- Se colocaron los buzones con las encuestas de servicio.</w:t>
            </w:r>
          </w:p>
          <w:p w:rsidR="00221A24" w:rsidRPr="009E561D" w:rsidRDefault="00221A24" w:rsidP="00221A24">
            <w:pPr>
              <w:spacing w:after="0" w:line="240" w:lineRule="auto"/>
              <w:jc w:val="both"/>
              <w:rPr>
                <w:rFonts w:ascii="Arial" w:eastAsia="Times New Roman" w:hAnsi="Arial" w:cs="Arial"/>
                <w:sz w:val="20"/>
                <w:szCs w:val="20"/>
                <w:lang w:eastAsia="es-ES"/>
              </w:rPr>
            </w:pPr>
            <w:r w:rsidRPr="009E561D">
              <w:rPr>
                <w:rFonts w:ascii="Arial" w:eastAsia="Times New Roman" w:hAnsi="Arial" w:cs="Arial"/>
                <w:sz w:val="20"/>
                <w:szCs w:val="20"/>
                <w:lang w:eastAsia="es-ES"/>
              </w:rPr>
              <w:t>- Se publica en Facebook la encuesta de servicio de manera digital.</w:t>
            </w:r>
          </w:p>
          <w:p w:rsidR="00221A24" w:rsidRPr="009E561D" w:rsidRDefault="00221A24" w:rsidP="00221A24">
            <w:pPr>
              <w:spacing w:after="0" w:line="240" w:lineRule="auto"/>
              <w:jc w:val="both"/>
              <w:rPr>
                <w:rFonts w:ascii="Arial" w:eastAsia="Times New Roman" w:hAnsi="Arial" w:cs="Arial"/>
                <w:sz w:val="20"/>
                <w:szCs w:val="20"/>
                <w:lang w:eastAsia="es-ES"/>
              </w:rPr>
            </w:pPr>
          </w:p>
        </w:tc>
      </w:tr>
      <w:tr w:rsidR="00221A24" w:rsidRPr="00221A24" w:rsidTr="00746DC0">
        <w:trPr>
          <w:trHeight w:val="705"/>
        </w:trPr>
        <w:tc>
          <w:tcPr>
            <w:tcW w:w="2358" w:type="pct"/>
            <w:shd w:val="clear" w:color="auto" w:fill="auto"/>
            <w:hideMark/>
          </w:tcPr>
          <w:p w:rsidR="00221A24" w:rsidRPr="00221A24" w:rsidRDefault="00221A24" w:rsidP="00221A24">
            <w:pPr>
              <w:spacing w:after="0" w:line="240" w:lineRule="auto"/>
              <w:rPr>
                <w:rFonts w:ascii="Arial" w:eastAsia="Times New Roman" w:hAnsi="Arial" w:cs="Arial"/>
                <w:b/>
                <w:sz w:val="20"/>
                <w:szCs w:val="20"/>
                <w:lang w:eastAsia="es-ES"/>
              </w:rPr>
            </w:pPr>
            <w:r w:rsidRPr="00221A24">
              <w:rPr>
                <w:rFonts w:ascii="Arial" w:eastAsia="Times New Roman" w:hAnsi="Arial" w:cs="Arial"/>
                <w:b/>
                <w:sz w:val="20"/>
                <w:szCs w:val="20"/>
                <w:lang w:eastAsia="es-ES"/>
              </w:rPr>
              <w:t xml:space="preserve">b) Limitaciones: </w:t>
            </w:r>
          </w:p>
          <w:p w:rsidR="00221A24" w:rsidRPr="00221A24" w:rsidRDefault="00221A24" w:rsidP="00221A24">
            <w:pPr>
              <w:spacing w:after="0" w:line="240" w:lineRule="auto"/>
              <w:rPr>
                <w:rFonts w:ascii="Arial" w:eastAsia="Times New Roman" w:hAnsi="Arial" w:cs="Arial"/>
                <w:b/>
                <w:sz w:val="20"/>
                <w:szCs w:val="20"/>
                <w:lang w:eastAsia="es-ES"/>
              </w:rPr>
            </w:pPr>
          </w:p>
          <w:p w:rsidR="00221A24" w:rsidRPr="00221A24" w:rsidRDefault="00221A24" w:rsidP="00221A24">
            <w:pPr>
              <w:spacing w:after="0" w:line="240" w:lineRule="auto"/>
              <w:rPr>
                <w:rFonts w:ascii="Arial" w:eastAsia="Times New Roman" w:hAnsi="Arial" w:cs="Arial"/>
                <w:b/>
                <w:sz w:val="20"/>
                <w:szCs w:val="20"/>
                <w:lang w:eastAsia="es-ES"/>
              </w:rPr>
            </w:pPr>
          </w:p>
        </w:tc>
        <w:tc>
          <w:tcPr>
            <w:tcW w:w="2642" w:type="pct"/>
            <w:shd w:val="clear" w:color="auto" w:fill="auto"/>
          </w:tcPr>
          <w:p w:rsidR="00221A24" w:rsidRPr="009E561D" w:rsidRDefault="00221A24" w:rsidP="00221A24">
            <w:pPr>
              <w:spacing w:after="0" w:line="240" w:lineRule="auto"/>
              <w:jc w:val="both"/>
              <w:rPr>
                <w:rFonts w:ascii="Arial" w:eastAsia="Times New Roman" w:hAnsi="Arial" w:cs="Arial"/>
                <w:sz w:val="20"/>
                <w:szCs w:val="20"/>
                <w:lang w:eastAsia="es-ES"/>
              </w:rPr>
            </w:pPr>
            <w:r w:rsidRPr="009E561D">
              <w:rPr>
                <w:rFonts w:ascii="Arial" w:eastAsia="Times New Roman" w:hAnsi="Arial" w:cs="Arial"/>
                <w:sz w:val="20"/>
                <w:szCs w:val="20"/>
                <w:lang w:eastAsia="es-ES"/>
              </w:rPr>
              <w:t>Procesos de adquisición lentos, por los tiempos y trámites según la normativa.</w:t>
            </w:r>
          </w:p>
        </w:tc>
      </w:tr>
      <w:tr w:rsidR="00221A24" w:rsidRPr="00221A24" w:rsidTr="00746DC0">
        <w:trPr>
          <w:trHeight w:val="471"/>
        </w:trPr>
        <w:tc>
          <w:tcPr>
            <w:tcW w:w="2358" w:type="pct"/>
            <w:shd w:val="clear" w:color="auto" w:fill="auto"/>
            <w:hideMark/>
          </w:tcPr>
          <w:p w:rsidR="00221A24" w:rsidRPr="00221A24" w:rsidRDefault="00221A24" w:rsidP="00221A24">
            <w:pPr>
              <w:spacing w:after="0" w:line="240" w:lineRule="auto"/>
              <w:rPr>
                <w:rFonts w:ascii="Arial" w:eastAsia="Times New Roman" w:hAnsi="Arial" w:cs="Arial"/>
                <w:b/>
                <w:sz w:val="20"/>
                <w:szCs w:val="20"/>
                <w:lang w:eastAsia="es-ES"/>
              </w:rPr>
            </w:pPr>
            <w:r w:rsidRPr="00221A24">
              <w:rPr>
                <w:rFonts w:ascii="Arial" w:eastAsia="Times New Roman" w:hAnsi="Arial" w:cs="Arial"/>
                <w:b/>
                <w:sz w:val="20"/>
                <w:szCs w:val="20"/>
                <w:lang w:eastAsia="es-ES"/>
              </w:rPr>
              <w:t>c) Medidas correctivas o acciones de mejora (realizadas y por realizar) para el logro de la meta:</w:t>
            </w:r>
          </w:p>
          <w:p w:rsidR="00221A24" w:rsidRPr="00221A24" w:rsidRDefault="00221A24" w:rsidP="00221A24">
            <w:pPr>
              <w:spacing w:after="0" w:line="240" w:lineRule="auto"/>
              <w:rPr>
                <w:rFonts w:ascii="Arial" w:eastAsia="Times New Roman" w:hAnsi="Arial" w:cs="Arial"/>
                <w:b/>
                <w:sz w:val="20"/>
                <w:szCs w:val="20"/>
                <w:lang w:eastAsia="es-ES"/>
              </w:rPr>
            </w:pPr>
          </w:p>
          <w:p w:rsidR="00221A24" w:rsidRPr="00221A24" w:rsidRDefault="00221A24" w:rsidP="00221A24">
            <w:pPr>
              <w:spacing w:after="0" w:line="240" w:lineRule="auto"/>
              <w:rPr>
                <w:rFonts w:ascii="Arial" w:eastAsia="Times New Roman" w:hAnsi="Arial" w:cs="Arial"/>
                <w:b/>
                <w:sz w:val="20"/>
                <w:szCs w:val="20"/>
                <w:lang w:eastAsia="es-ES"/>
              </w:rPr>
            </w:pPr>
          </w:p>
        </w:tc>
        <w:tc>
          <w:tcPr>
            <w:tcW w:w="2642" w:type="pct"/>
            <w:shd w:val="clear" w:color="auto" w:fill="auto"/>
          </w:tcPr>
          <w:p w:rsidR="00221A24" w:rsidRPr="009E561D" w:rsidRDefault="00221A24" w:rsidP="00221A24">
            <w:pPr>
              <w:spacing w:after="0" w:line="240" w:lineRule="auto"/>
              <w:jc w:val="both"/>
              <w:rPr>
                <w:rFonts w:ascii="Arial" w:eastAsia="Times New Roman" w:hAnsi="Arial" w:cs="Arial"/>
                <w:sz w:val="20"/>
                <w:szCs w:val="20"/>
                <w:lang w:eastAsia="es-ES"/>
              </w:rPr>
            </w:pPr>
            <w:r w:rsidRPr="009E561D">
              <w:rPr>
                <w:rFonts w:ascii="Arial" w:eastAsia="Times New Roman" w:hAnsi="Arial" w:cs="Arial"/>
                <w:sz w:val="20"/>
                <w:szCs w:val="20"/>
                <w:lang w:eastAsia="es-ES"/>
              </w:rPr>
              <w:t>Por primera vez se consolida la realización de una encuesta de satisfacción para la Institución, coordinada por una dependencia especializada en el tema y sin participación de las dependencias involucradas.</w:t>
            </w:r>
          </w:p>
          <w:p w:rsidR="00221A24" w:rsidRPr="009E561D" w:rsidRDefault="00221A24" w:rsidP="00221A24">
            <w:pPr>
              <w:spacing w:after="0" w:line="240" w:lineRule="auto"/>
              <w:jc w:val="both"/>
              <w:rPr>
                <w:rFonts w:ascii="Arial" w:eastAsia="Times New Roman" w:hAnsi="Arial" w:cs="Arial"/>
                <w:sz w:val="20"/>
                <w:szCs w:val="20"/>
                <w:lang w:eastAsia="es-ES"/>
              </w:rPr>
            </w:pPr>
            <w:r w:rsidRPr="009E561D">
              <w:rPr>
                <w:rFonts w:ascii="Arial" w:eastAsia="Times New Roman" w:hAnsi="Arial" w:cs="Arial"/>
                <w:sz w:val="20"/>
                <w:szCs w:val="20"/>
                <w:lang w:eastAsia="es-ES"/>
              </w:rPr>
              <w:t xml:space="preserve">  </w:t>
            </w:r>
          </w:p>
        </w:tc>
      </w:tr>
      <w:tr w:rsidR="00221A24" w:rsidRPr="00221A24" w:rsidTr="00746DC0">
        <w:trPr>
          <w:trHeight w:val="850"/>
        </w:trPr>
        <w:tc>
          <w:tcPr>
            <w:tcW w:w="2358" w:type="pct"/>
            <w:shd w:val="clear" w:color="auto" w:fill="auto"/>
          </w:tcPr>
          <w:p w:rsidR="00221A24" w:rsidRPr="00221A24" w:rsidRDefault="00221A24" w:rsidP="00221A24">
            <w:pPr>
              <w:spacing w:after="0" w:line="240" w:lineRule="auto"/>
              <w:rPr>
                <w:rFonts w:ascii="Arial" w:eastAsia="Times New Roman" w:hAnsi="Arial" w:cs="Arial"/>
                <w:b/>
                <w:sz w:val="20"/>
                <w:szCs w:val="20"/>
                <w:lang w:eastAsia="es-ES"/>
              </w:rPr>
            </w:pPr>
            <w:r w:rsidRPr="00221A24">
              <w:rPr>
                <w:rFonts w:ascii="Arial" w:eastAsia="Times New Roman" w:hAnsi="Arial" w:cs="Arial"/>
                <w:b/>
                <w:sz w:val="20"/>
                <w:szCs w:val="20"/>
                <w:lang w:eastAsia="es-ES"/>
              </w:rPr>
              <w:t>d) Observaciones:</w:t>
            </w:r>
          </w:p>
        </w:tc>
        <w:tc>
          <w:tcPr>
            <w:tcW w:w="2642" w:type="pct"/>
            <w:shd w:val="clear" w:color="auto" w:fill="auto"/>
          </w:tcPr>
          <w:p w:rsidR="00221A24" w:rsidRPr="00221A24" w:rsidRDefault="00221A24" w:rsidP="00221A24">
            <w:pPr>
              <w:spacing w:after="0" w:line="240" w:lineRule="auto"/>
              <w:rPr>
                <w:rFonts w:ascii="Arial" w:eastAsia="Times New Roman" w:hAnsi="Arial" w:cs="Arial"/>
                <w:b/>
                <w:sz w:val="20"/>
                <w:szCs w:val="20"/>
                <w:lang w:eastAsia="es-ES"/>
              </w:rPr>
            </w:pPr>
          </w:p>
        </w:tc>
      </w:tr>
    </w:tbl>
    <w:p w:rsidR="00221A24" w:rsidRPr="00221A24" w:rsidRDefault="00221A24" w:rsidP="00221A24">
      <w:pPr>
        <w:spacing w:after="0" w:line="240" w:lineRule="auto"/>
        <w:rPr>
          <w:rFonts w:ascii="Arial" w:eastAsia="Times New Roman" w:hAnsi="Arial" w:cs="Arial"/>
          <w:b/>
          <w:sz w:val="20"/>
          <w:szCs w:val="20"/>
          <w:lang w:eastAsia="es-ES"/>
        </w:rPr>
      </w:pPr>
    </w:p>
    <w:p w:rsidR="00221A24" w:rsidRPr="00221A24" w:rsidRDefault="00221A24" w:rsidP="00221A24">
      <w:pPr>
        <w:spacing w:after="0" w:line="240" w:lineRule="auto"/>
        <w:rPr>
          <w:rFonts w:ascii="Arial" w:eastAsia="Times New Roman" w:hAnsi="Arial" w:cs="Arial"/>
          <w:sz w:val="18"/>
          <w:szCs w:val="18"/>
          <w:lang w:eastAsia="es-ES"/>
        </w:rPr>
      </w:pPr>
      <w:r w:rsidRPr="00221A24">
        <w:rPr>
          <w:rFonts w:ascii="Arial" w:eastAsia="Times New Roman" w:hAnsi="Arial" w:cs="Arial"/>
          <w:sz w:val="18"/>
          <w:szCs w:val="18"/>
          <w:lang w:eastAsia="es-ES"/>
        </w:rPr>
        <w:t>Nota Fuente: Informe de rendimiento de cuentas de área. (2017)</w:t>
      </w:r>
    </w:p>
    <w:p w:rsidR="00DA62C0" w:rsidRDefault="00DA62C0">
      <w:pPr>
        <w:rPr>
          <w:rFonts w:ascii="Arial" w:eastAsia="Times New Roman" w:hAnsi="Arial" w:cs="Arial"/>
          <w:sz w:val="20"/>
          <w:szCs w:val="20"/>
          <w:lang w:val="es-ES" w:eastAsia="es-ES"/>
        </w:rPr>
      </w:pPr>
    </w:p>
    <w:p w:rsidR="00DA62C0" w:rsidRDefault="00DA62C0">
      <w:pPr>
        <w:rPr>
          <w:rFonts w:ascii="Arial" w:eastAsia="Times New Roman" w:hAnsi="Arial" w:cs="Arial"/>
          <w:sz w:val="20"/>
          <w:szCs w:val="20"/>
          <w:lang w:val="es-ES" w:eastAsia="es-ES"/>
        </w:rPr>
      </w:pPr>
      <w:r>
        <w:rPr>
          <w:rFonts w:ascii="Arial" w:eastAsia="Times New Roman" w:hAnsi="Arial" w:cs="Arial"/>
          <w:sz w:val="20"/>
          <w:szCs w:val="20"/>
          <w:lang w:val="es-ES" w:eastAsia="es-ES"/>
        </w:rPr>
        <w:br w:type="page"/>
      </w:r>
    </w:p>
    <w:p w:rsidR="000316DE" w:rsidRDefault="000316DE" w:rsidP="00221A24">
      <w:pPr>
        <w:spacing w:after="0" w:line="240" w:lineRule="auto"/>
        <w:jc w:val="both"/>
        <w:rPr>
          <w:rFonts w:ascii="Arial" w:eastAsia="Times New Roman" w:hAnsi="Arial" w:cs="Arial"/>
          <w:b/>
          <w:sz w:val="20"/>
          <w:szCs w:val="20"/>
          <w:lang w:eastAsia="es-ES"/>
        </w:rPr>
      </w:pPr>
    </w:p>
    <w:p w:rsidR="00221A24" w:rsidRPr="00221A24" w:rsidRDefault="00221A24" w:rsidP="00221A24">
      <w:pPr>
        <w:spacing w:after="0" w:line="240" w:lineRule="auto"/>
        <w:jc w:val="both"/>
        <w:rPr>
          <w:rFonts w:ascii="Arial" w:eastAsia="Times New Roman" w:hAnsi="Arial" w:cs="Arial"/>
          <w:b/>
          <w:sz w:val="20"/>
          <w:szCs w:val="20"/>
          <w:lang w:eastAsia="es-ES"/>
        </w:rPr>
      </w:pPr>
      <w:r w:rsidRPr="00221A24">
        <w:rPr>
          <w:rFonts w:ascii="Arial" w:eastAsia="Times New Roman" w:hAnsi="Arial" w:cs="Arial"/>
          <w:b/>
          <w:sz w:val="20"/>
          <w:szCs w:val="20"/>
          <w:lang w:eastAsia="es-ES"/>
        </w:rPr>
        <w:t xml:space="preserve">Indicador N°8 Porcentaje de mejora en la opinión pública sobre imagen, productos y servicios del INVU </w:t>
      </w:r>
    </w:p>
    <w:p w:rsidR="00221A24" w:rsidRPr="00221A24" w:rsidRDefault="00221A24" w:rsidP="00221A24">
      <w:pPr>
        <w:spacing w:after="0" w:line="240" w:lineRule="auto"/>
        <w:rPr>
          <w:rFonts w:ascii="Arial" w:eastAsia="Times New Roman" w:hAnsi="Arial" w:cs="Arial"/>
          <w:b/>
          <w:sz w:val="20"/>
          <w:szCs w:val="20"/>
          <w:lang w:eastAsia="es-ES"/>
        </w:rPr>
      </w:pPr>
    </w:p>
    <w:p w:rsidR="00221A24" w:rsidRPr="00221A24" w:rsidRDefault="00221A24" w:rsidP="00221A24">
      <w:pPr>
        <w:spacing w:after="0" w:line="240" w:lineRule="auto"/>
        <w:jc w:val="both"/>
        <w:rPr>
          <w:rFonts w:ascii="Arial" w:eastAsia="Times New Roman" w:hAnsi="Arial" w:cs="Arial"/>
          <w:sz w:val="20"/>
          <w:szCs w:val="20"/>
          <w:lang w:eastAsia="es-ES"/>
        </w:rPr>
      </w:pPr>
      <w:r w:rsidRPr="00221A24">
        <w:rPr>
          <w:rFonts w:ascii="Arial" w:eastAsia="Times New Roman" w:hAnsi="Arial" w:cs="Arial"/>
          <w:sz w:val="20"/>
          <w:szCs w:val="20"/>
          <w:lang w:eastAsia="es-ES"/>
        </w:rPr>
        <w:t xml:space="preserve">A diciembre se cuenta con un estudio de mercado, que identificó el valor y la percepción de la marca INVU entre los habitantes de Costa Rica. Se encuentra pendiente la realización de un segundo estudio que permita analizar el cambio en la opinión pública sobre imagen, productos y servicios de la Institución. </w:t>
      </w:r>
    </w:p>
    <w:p w:rsidR="00221A24" w:rsidRPr="00221A24" w:rsidRDefault="00221A24" w:rsidP="00221A24">
      <w:pPr>
        <w:spacing w:after="0" w:line="240" w:lineRule="auto"/>
        <w:jc w:val="both"/>
        <w:rPr>
          <w:rFonts w:ascii="Arial" w:eastAsia="Times New Roman" w:hAnsi="Arial" w:cs="Arial"/>
          <w:sz w:val="20"/>
          <w:szCs w:val="20"/>
          <w:lang w:eastAsia="es-ES"/>
        </w:rPr>
      </w:pPr>
    </w:p>
    <w:p w:rsidR="00221A24" w:rsidRPr="00221A24" w:rsidRDefault="00221A24" w:rsidP="00221A24">
      <w:pPr>
        <w:spacing w:after="0" w:line="240" w:lineRule="auto"/>
        <w:jc w:val="both"/>
        <w:rPr>
          <w:rFonts w:ascii="Arial" w:eastAsia="Times New Roman" w:hAnsi="Arial" w:cs="Arial"/>
          <w:sz w:val="20"/>
          <w:szCs w:val="20"/>
          <w:lang w:eastAsia="es-ES"/>
        </w:rPr>
      </w:pPr>
    </w:p>
    <w:p w:rsidR="00221A24" w:rsidRPr="00221A24" w:rsidRDefault="00221A24" w:rsidP="00221A24">
      <w:pPr>
        <w:spacing w:after="0" w:line="240" w:lineRule="auto"/>
        <w:jc w:val="both"/>
        <w:rPr>
          <w:rFonts w:ascii="Arial" w:eastAsia="Times New Roman" w:hAnsi="Arial" w:cs="Arial"/>
          <w:sz w:val="20"/>
          <w:szCs w:val="20"/>
          <w:lang w:eastAsia="es-ES"/>
        </w:rPr>
      </w:pPr>
      <w:r w:rsidRPr="00221A24">
        <w:rPr>
          <w:rFonts w:ascii="Arial" w:eastAsia="Times New Roman" w:hAnsi="Arial" w:cs="Arial"/>
          <w:sz w:val="20"/>
          <w:szCs w:val="20"/>
          <w:lang w:eastAsia="es-ES"/>
        </w:rPr>
        <w:t>Seguidamente se muestra un detalle de lo actuado:</w:t>
      </w:r>
    </w:p>
    <w:p w:rsidR="00221A24" w:rsidRPr="00221A24" w:rsidRDefault="00221A24" w:rsidP="00221A24">
      <w:pPr>
        <w:spacing w:after="0" w:line="240" w:lineRule="auto"/>
        <w:rPr>
          <w:rFonts w:ascii="Arial" w:eastAsia="Times New Roman" w:hAnsi="Arial" w:cs="Arial"/>
          <w:b/>
          <w:sz w:val="20"/>
          <w:szCs w:val="20"/>
          <w:lang w:eastAsia="es-ES"/>
        </w:rPr>
      </w:pPr>
    </w:p>
    <w:tbl>
      <w:tblPr>
        <w:tblW w:w="9103" w:type="dxa"/>
        <w:tblBorders>
          <w:insideH w:val="single" w:sz="6" w:space="0" w:color="000000"/>
          <w:insideV w:val="single" w:sz="6" w:space="0" w:color="000000"/>
        </w:tblBorders>
        <w:tblLook w:val="04A0" w:firstRow="1" w:lastRow="0" w:firstColumn="1" w:lastColumn="0" w:noHBand="0" w:noVBand="1"/>
      </w:tblPr>
      <w:tblGrid>
        <w:gridCol w:w="4293"/>
        <w:gridCol w:w="4810"/>
      </w:tblGrid>
      <w:tr w:rsidR="00221A24" w:rsidRPr="00221A24" w:rsidTr="00746DC0">
        <w:trPr>
          <w:trHeight w:val="270"/>
        </w:trPr>
        <w:tc>
          <w:tcPr>
            <w:tcW w:w="5000" w:type="pct"/>
            <w:gridSpan w:val="2"/>
            <w:shd w:val="clear" w:color="auto" w:fill="auto"/>
            <w:noWrap/>
            <w:hideMark/>
          </w:tcPr>
          <w:p w:rsidR="00221A24" w:rsidRPr="00221A24" w:rsidRDefault="00221A24" w:rsidP="00221A24">
            <w:pPr>
              <w:spacing w:after="0" w:line="240" w:lineRule="auto"/>
              <w:rPr>
                <w:rFonts w:ascii="Arial" w:eastAsia="Times New Roman" w:hAnsi="Arial" w:cs="Arial"/>
                <w:b/>
                <w:sz w:val="20"/>
                <w:szCs w:val="20"/>
                <w:lang w:eastAsia="es-ES"/>
              </w:rPr>
            </w:pPr>
          </w:p>
          <w:p w:rsidR="00221A24" w:rsidRPr="00221A24" w:rsidRDefault="00221A24" w:rsidP="00221A24">
            <w:pPr>
              <w:spacing w:after="0" w:line="240" w:lineRule="auto"/>
              <w:jc w:val="center"/>
              <w:rPr>
                <w:rFonts w:ascii="Arial" w:eastAsia="Times New Roman" w:hAnsi="Arial" w:cs="Arial"/>
                <w:b/>
                <w:sz w:val="20"/>
                <w:szCs w:val="20"/>
                <w:lang w:eastAsia="es-ES"/>
              </w:rPr>
            </w:pPr>
            <w:r w:rsidRPr="00221A24">
              <w:rPr>
                <w:rFonts w:ascii="Arial" w:eastAsia="Times New Roman" w:hAnsi="Arial" w:cs="Arial"/>
                <w:b/>
                <w:sz w:val="20"/>
                <w:szCs w:val="20"/>
                <w:lang w:eastAsia="es-ES"/>
              </w:rPr>
              <w:t>Tabla 7 Acciones Realizadas</w:t>
            </w:r>
          </w:p>
        </w:tc>
      </w:tr>
      <w:tr w:rsidR="00221A24" w:rsidRPr="00221A24" w:rsidTr="00746DC0">
        <w:trPr>
          <w:trHeight w:val="825"/>
        </w:trPr>
        <w:tc>
          <w:tcPr>
            <w:tcW w:w="2358" w:type="pct"/>
            <w:shd w:val="clear" w:color="auto" w:fill="auto"/>
            <w:hideMark/>
          </w:tcPr>
          <w:p w:rsidR="00221A24" w:rsidRPr="00221A24" w:rsidRDefault="00221A24" w:rsidP="00221A24">
            <w:pPr>
              <w:spacing w:after="0" w:line="240" w:lineRule="auto"/>
              <w:rPr>
                <w:rFonts w:ascii="Arial" w:eastAsia="Times New Roman" w:hAnsi="Arial" w:cs="Arial"/>
                <w:b/>
                <w:sz w:val="20"/>
                <w:szCs w:val="20"/>
                <w:lang w:eastAsia="es-ES"/>
              </w:rPr>
            </w:pPr>
            <w:r w:rsidRPr="00221A24">
              <w:rPr>
                <w:rFonts w:ascii="Arial" w:eastAsia="Times New Roman" w:hAnsi="Arial" w:cs="Arial"/>
                <w:b/>
                <w:sz w:val="20"/>
                <w:szCs w:val="20"/>
                <w:lang w:eastAsia="es-ES"/>
              </w:rPr>
              <w:t>a) Actividades realizadas:</w:t>
            </w:r>
          </w:p>
          <w:p w:rsidR="00221A24" w:rsidRPr="00221A24" w:rsidRDefault="00221A24" w:rsidP="00221A24">
            <w:pPr>
              <w:spacing w:after="0" w:line="240" w:lineRule="auto"/>
              <w:rPr>
                <w:rFonts w:ascii="Arial" w:eastAsia="Times New Roman" w:hAnsi="Arial" w:cs="Arial"/>
                <w:b/>
                <w:sz w:val="20"/>
                <w:szCs w:val="20"/>
                <w:lang w:eastAsia="es-ES"/>
              </w:rPr>
            </w:pPr>
          </w:p>
        </w:tc>
        <w:tc>
          <w:tcPr>
            <w:tcW w:w="2642" w:type="pct"/>
            <w:shd w:val="clear" w:color="auto" w:fill="auto"/>
          </w:tcPr>
          <w:p w:rsidR="00221A24" w:rsidRPr="00221A24" w:rsidRDefault="00221A24" w:rsidP="00221A24">
            <w:pPr>
              <w:spacing w:after="0" w:line="240" w:lineRule="auto"/>
              <w:jc w:val="both"/>
              <w:rPr>
                <w:rFonts w:ascii="Arial" w:eastAsia="Times New Roman" w:hAnsi="Arial" w:cs="Arial"/>
                <w:sz w:val="20"/>
                <w:szCs w:val="20"/>
                <w:lang w:eastAsia="es-ES"/>
              </w:rPr>
            </w:pPr>
            <w:r w:rsidRPr="00221A24">
              <w:rPr>
                <w:rFonts w:ascii="Arial" w:eastAsia="Times New Roman" w:hAnsi="Arial" w:cs="Arial"/>
                <w:sz w:val="20"/>
                <w:szCs w:val="20"/>
                <w:lang w:eastAsia="es-ES"/>
              </w:rPr>
              <w:t>- Elaboración del instrumento (encuesta) en forma conjunta con la empresa contratada, para el estudio de mercado sobre la percepción de la marca y los productos del INVU.</w:t>
            </w:r>
          </w:p>
          <w:p w:rsidR="00221A24" w:rsidRPr="00221A24" w:rsidRDefault="00221A24" w:rsidP="00221A24">
            <w:pPr>
              <w:spacing w:after="0" w:line="240" w:lineRule="auto"/>
              <w:jc w:val="both"/>
              <w:rPr>
                <w:rFonts w:ascii="Arial" w:eastAsia="Times New Roman" w:hAnsi="Arial" w:cs="Arial"/>
                <w:sz w:val="20"/>
                <w:szCs w:val="20"/>
                <w:lang w:eastAsia="es-ES"/>
              </w:rPr>
            </w:pPr>
            <w:r w:rsidRPr="00221A24">
              <w:rPr>
                <w:rFonts w:ascii="Arial" w:eastAsia="Times New Roman" w:hAnsi="Arial" w:cs="Arial"/>
                <w:sz w:val="20"/>
                <w:szCs w:val="20"/>
                <w:lang w:eastAsia="es-ES"/>
              </w:rPr>
              <w:t>- Aplicación de la encuesta en las diferentes provincias del país.</w:t>
            </w:r>
          </w:p>
          <w:p w:rsidR="00221A24" w:rsidRPr="00221A24" w:rsidRDefault="00221A24" w:rsidP="00221A24">
            <w:pPr>
              <w:spacing w:after="0" w:line="240" w:lineRule="auto"/>
              <w:jc w:val="both"/>
              <w:rPr>
                <w:rFonts w:ascii="Arial" w:eastAsia="Times New Roman" w:hAnsi="Arial" w:cs="Arial"/>
                <w:sz w:val="20"/>
                <w:szCs w:val="20"/>
                <w:lang w:eastAsia="es-ES"/>
              </w:rPr>
            </w:pPr>
            <w:r w:rsidRPr="00221A24">
              <w:rPr>
                <w:rFonts w:ascii="Arial" w:eastAsia="Times New Roman" w:hAnsi="Arial" w:cs="Arial"/>
                <w:sz w:val="20"/>
                <w:szCs w:val="20"/>
                <w:lang w:eastAsia="es-ES"/>
              </w:rPr>
              <w:t>- Tabulación y análisis de los resultados del estudio de mercado.</w:t>
            </w:r>
          </w:p>
          <w:p w:rsidR="00221A24" w:rsidRPr="00221A24" w:rsidRDefault="00221A24" w:rsidP="00221A24">
            <w:pPr>
              <w:spacing w:after="0" w:line="240" w:lineRule="auto"/>
              <w:jc w:val="both"/>
              <w:rPr>
                <w:rFonts w:ascii="Arial" w:eastAsia="Times New Roman" w:hAnsi="Arial" w:cs="Arial"/>
                <w:sz w:val="20"/>
                <w:szCs w:val="20"/>
                <w:lang w:eastAsia="es-ES"/>
              </w:rPr>
            </w:pPr>
            <w:r w:rsidRPr="00221A24">
              <w:rPr>
                <w:rFonts w:ascii="Arial" w:eastAsia="Times New Roman" w:hAnsi="Arial" w:cs="Arial"/>
                <w:sz w:val="20"/>
                <w:szCs w:val="20"/>
                <w:lang w:eastAsia="es-ES"/>
              </w:rPr>
              <w:t>- Presentación del informe ante la Presidencia Ejecutiva,  Gerencia General y jefaturas de Unidad.</w:t>
            </w:r>
          </w:p>
          <w:p w:rsidR="00221A24" w:rsidRPr="00221A24" w:rsidRDefault="00221A24" w:rsidP="00221A24">
            <w:pPr>
              <w:spacing w:after="0" w:line="240" w:lineRule="auto"/>
              <w:jc w:val="both"/>
              <w:rPr>
                <w:rFonts w:ascii="Arial" w:eastAsia="Times New Roman" w:hAnsi="Arial" w:cs="Arial"/>
                <w:sz w:val="20"/>
                <w:szCs w:val="20"/>
                <w:lang w:eastAsia="es-ES"/>
              </w:rPr>
            </w:pPr>
            <w:r w:rsidRPr="00221A24">
              <w:rPr>
                <w:rFonts w:ascii="Arial" w:eastAsia="Times New Roman" w:hAnsi="Arial" w:cs="Arial"/>
                <w:sz w:val="20"/>
                <w:szCs w:val="20"/>
                <w:lang w:eastAsia="es-ES"/>
              </w:rPr>
              <w:t>- Remisión del informe a las diferentes áreas.</w:t>
            </w:r>
          </w:p>
          <w:p w:rsidR="00221A24" w:rsidRPr="00221A24" w:rsidRDefault="00221A24" w:rsidP="00221A24">
            <w:pPr>
              <w:spacing w:after="0" w:line="240" w:lineRule="auto"/>
              <w:jc w:val="both"/>
              <w:rPr>
                <w:rFonts w:ascii="Arial" w:eastAsia="Times New Roman" w:hAnsi="Arial" w:cs="Arial"/>
                <w:sz w:val="20"/>
                <w:szCs w:val="20"/>
                <w:lang w:eastAsia="es-ES"/>
              </w:rPr>
            </w:pPr>
          </w:p>
        </w:tc>
      </w:tr>
      <w:tr w:rsidR="00221A24" w:rsidRPr="00221A24" w:rsidTr="00746DC0">
        <w:trPr>
          <w:trHeight w:val="705"/>
        </w:trPr>
        <w:tc>
          <w:tcPr>
            <w:tcW w:w="2358" w:type="pct"/>
            <w:shd w:val="clear" w:color="auto" w:fill="auto"/>
            <w:hideMark/>
          </w:tcPr>
          <w:p w:rsidR="00221A24" w:rsidRPr="00221A24" w:rsidRDefault="00221A24" w:rsidP="00221A24">
            <w:pPr>
              <w:spacing w:after="0" w:line="240" w:lineRule="auto"/>
              <w:rPr>
                <w:rFonts w:ascii="Arial" w:eastAsia="Times New Roman" w:hAnsi="Arial" w:cs="Arial"/>
                <w:b/>
                <w:sz w:val="20"/>
                <w:szCs w:val="20"/>
                <w:lang w:eastAsia="es-ES"/>
              </w:rPr>
            </w:pPr>
            <w:r w:rsidRPr="00221A24">
              <w:rPr>
                <w:rFonts w:ascii="Arial" w:eastAsia="Times New Roman" w:hAnsi="Arial" w:cs="Arial"/>
                <w:b/>
                <w:sz w:val="20"/>
                <w:szCs w:val="20"/>
                <w:lang w:eastAsia="es-ES"/>
              </w:rPr>
              <w:t xml:space="preserve">b) Limitaciones: </w:t>
            </w:r>
          </w:p>
          <w:p w:rsidR="00221A24" w:rsidRPr="00221A24" w:rsidRDefault="00221A24" w:rsidP="00221A24">
            <w:pPr>
              <w:spacing w:after="0" w:line="240" w:lineRule="auto"/>
              <w:rPr>
                <w:rFonts w:ascii="Arial" w:eastAsia="Times New Roman" w:hAnsi="Arial" w:cs="Arial"/>
                <w:b/>
                <w:sz w:val="20"/>
                <w:szCs w:val="20"/>
                <w:lang w:eastAsia="es-ES"/>
              </w:rPr>
            </w:pPr>
          </w:p>
          <w:p w:rsidR="00221A24" w:rsidRPr="00221A24" w:rsidRDefault="00221A24" w:rsidP="00221A24">
            <w:pPr>
              <w:spacing w:after="0" w:line="240" w:lineRule="auto"/>
              <w:rPr>
                <w:rFonts w:ascii="Arial" w:eastAsia="Times New Roman" w:hAnsi="Arial" w:cs="Arial"/>
                <w:b/>
                <w:sz w:val="20"/>
                <w:szCs w:val="20"/>
                <w:lang w:eastAsia="es-ES"/>
              </w:rPr>
            </w:pPr>
          </w:p>
        </w:tc>
        <w:tc>
          <w:tcPr>
            <w:tcW w:w="2642" w:type="pct"/>
            <w:shd w:val="clear" w:color="auto" w:fill="auto"/>
          </w:tcPr>
          <w:p w:rsidR="00221A24" w:rsidRPr="00221A24" w:rsidRDefault="00221A24" w:rsidP="00221A24">
            <w:pPr>
              <w:spacing w:after="0" w:line="240" w:lineRule="auto"/>
              <w:jc w:val="both"/>
              <w:rPr>
                <w:rFonts w:ascii="Arial" w:eastAsia="Times New Roman" w:hAnsi="Arial" w:cs="Arial"/>
                <w:sz w:val="20"/>
                <w:szCs w:val="20"/>
                <w:lang w:eastAsia="es-ES"/>
              </w:rPr>
            </w:pPr>
            <w:r w:rsidRPr="00221A24">
              <w:rPr>
                <w:rFonts w:ascii="Arial" w:eastAsia="Times New Roman" w:hAnsi="Arial" w:cs="Arial"/>
                <w:sz w:val="20"/>
                <w:szCs w:val="20"/>
                <w:lang w:eastAsia="es-ES"/>
              </w:rPr>
              <w:t>Proceso de contratación lento, por los tiempos y trámites en cumplimiento de la  normativa.</w:t>
            </w:r>
          </w:p>
        </w:tc>
      </w:tr>
      <w:tr w:rsidR="00221A24" w:rsidRPr="00221A24" w:rsidTr="00746DC0">
        <w:trPr>
          <w:trHeight w:val="471"/>
        </w:trPr>
        <w:tc>
          <w:tcPr>
            <w:tcW w:w="2358" w:type="pct"/>
            <w:shd w:val="clear" w:color="auto" w:fill="auto"/>
            <w:hideMark/>
          </w:tcPr>
          <w:p w:rsidR="00221A24" w:rsidRPr="00221A24" w:rsidRDefault="00221A24" w:rsidP="00221A24">
            <w:pPr>
              <w:spacing w:after="0" w:line="240" w:lineRule="auto"/>
              <w:rPr>
                <w:rFonts w:ascii="Arial" w:eastAsia="Times New Roman" w:hAnsi="Arial" w:cs="Arial"/>
                <w:b/>
                <w:sz w:val="20"/>
                <w:szCs w:val="20"/>
                <w:lang w:eastAsia="es-ES"/>
              </w:rPr>
            </w:pPr>
            <w:r w:rsidRPr="00221A24">
              <w:rPr>
                <w:rFonts w:ascii="Arial" w:eastAsia="Times New Roman" w:hAnsi="Arial" w:cs="Arial"/>
                <w:b/>
                <w:sz w:val="20"/>
                <w:szCs w:val="20"/>
                <w:lang w:eastAsia="es-ES"/>
              </w:rPr>
              <w:t>c) Medidas correctivas o acciones de mejora (realizadas y por realizar) para el logro de la meta:</w:t>
            </w:r>
          </w:p>
          <w:p w:rsidR="00221A24" w:rsidRPr="00221A24" w:rsidRDefault="00221A24" w:rsidP="00221A24">
            <w:pPr>
              <w:spacing w:after="0" w:line="240" w:lineRule="auto"/>
              <w:rPr>
                <w:rFonts w:ascii="Arial" w:eastAsia="Times New Roman" w:hAnsi="Arial" w:cs="Arial"/>
                <w:b/>
                <w:sz w:val="20"/>
                <w:szCs w:val="20"/>
                <w:lang w:eastAsia="es-ES"/>
              </w:rPr>
            </w:pPr>
          </w:p>
          <w:p w:rsidR="00221A24" w:rsidRPr="00221A24" w:rsidRDefault="00221A24" w:rsidP="00221A24">
            <w:pPr>
              <w:spacing w:after="0" w:line="240" w:lineRule="auto"/>
              <w:rPr>
                <w:rFonts w:ascii="Arial" w:eastAsia="Times New Roman" w:hAnsi="Arial" w:cs="Arial"/>
                <w:b/>
                <w:sz w:val="20"/>
                <w:szCs w:val="20"/>
                <w:lang w:eastAsia="es-ES"/>
              </w:rPr>
            </w:pPr>
          </w:p>
        </w:tc>
        <w:tc>
          <w:tcPr>
            <w:tcW w:w="2642" w:type="pct"/>
            <w:shd w:val="clear" w:color="auto" w:fill="auto"/>
          </w:tcPr>
          <w:p w:rsidR="00221A24" w:rsidRPr="00221A24" w:rsidRDefault="00221A24" w:rsidP="00221A24">
            <w:pPr>
              <w:spacing w:after="0" w:line="240" w:lineRule="auto"/>
              <w:jc w:val="both"/>
              <w:rPr>
                <w:rFonts w:ascii="Arial" w:eastAsia="Times New Roman" w:hAnsi="Arial" w:cs="Arial"/>
                <w:sz w:val="20"/>
                <w:szCs w:val="20"/>
                <w:lang w:eastAsia="es-ES"/>
              </w:rPr>
            </w:pPr>
          </w:p>
        </w:tc>
      </w:tr>
      <w:tr w:rsidR="00221A24" w:rsidRPr="00221A24" w:rsidTr="00746DC0">
        <w:trPr>
          <w:trHeight w:val="850"/>
        </w:trPr>
        <w:tc>
          <w:tcPr>
            <w:tcW w:w="2358" w:type="pct"/>
            <w:shd w:val="clear" w:color="auto" w:fill="auto"/>
          </w:tcPr>
          <w:p w:rsidR="00221A24" w:rsidRPr="00221A24" w:rsidRDefault="00221A24" w:rsidP="00221A24">
            <w:pPr>
              <w:spacing w:after="0" w:line="240" w:lineRule="auto"/>
              <w:rPr>
                <w:rFonts w:ascii="Arial" w:eastAsia="Times New Roman" w:hAnsi="Arial" w:cs="Arial"/>
                <w:b/>
                <w:sz w:val="20"/>
                <w:szCs w:val="20"/>
                <w:lang w:eastAsia="es-ES"/>
              </w:rPr>
            </w:pPr>
            <w:r w:rsidRPr="00221A24">
              <w:rPr>
                <w:rFonts w:ascii="Arial" w:eastAsia="Times New Roman" w:hAnsi="Arial" w:cs="Arial"/>
                <w:b/>
                <w:sz w:val="20"/>
                <w:szCs w:val="20"/>
                <w:lang w:eastAsia="es-ES"/>
              </w:rPr>
              <w:t>d) Observaciones:</w:t>
            </w:r>
          </w:p>
        </w:tc>
        <w:tc>
          <w:tcPr>
            <w:tcW w:w="2642" w:type="pct"/>
            <w:shd w:val="clear" w:color="auto" w:fill="auto"/>
          </w:tcPr>
          <w:p w:rsidR="00221A24" w:rsidRPr="00221A24" w:rsidRDefault="00221A24" w:rsidP="00221A24">
            <w:pPr>
              <w:spacing w:after="0" w:line="240" w:lineRule="auto"/>
              <w:jc w:val="both"/>
              <w:rPr>
                <w:rFonts w:ascii="Arial" w:eastAsia="Times New Roman" w:hAnsi="Arial" w:cs="Arial"/>
                <w:sz w:val="20"/>
                <w:szCs w:val="20"/>
                <w:lang w:eastAsia="es-ES"/>
              </w:rPr>
            </w:pPr>
            <w:r w:rsidRPr="00221A24">
              <w:rPr>
                <w:rFonts w:ascii="Arial" w:eastAsia="Times New Roman" w:hAnsi="Arial" w:cs="Arial"/>
                <w:sz w:val="20"/>
                <w:szCs w:val="20"/>
                <w:lang w:eastAsia="es-ES"/>
              </w:rPr>
              <w:t xml:space="preserve">Se realizó un Focus Group, derivado del estudio de mercado para el producto financiero Sistema de Ahorro y Préstamo (SAP), con el objetivo de conocer la opinión del consumidor, sobre la actualización del producto. </w:t>
            </w:r>
          </w:p>
          <w:p w:rsidR="00221A24" w:rsidRPr="00221A24" w:rsidRDefault="00221A24" w:rsidP="00221A24">
            <w:pPr>
              <w:spacing w:after="0" w:line="240" w:lineRule="auto"/>
              <w:jc w:val="both"/>
              <w:rPr>
                <w:rFonts w:ascii="Arial" w:eastAsia="Times New Roman" w:hAnsi="Arial" w:cs="Arial"/>
                <w:sz w:val="20"/>
                <w:szCs w:val="20"/>
                <w:lang w:eastAsia="es-ES"/>
              </w:rPr>
            </w:pPr>
          </w:p>
        </w:tc>
      </w:tr>
    </w:tbl>
    <w:p w:rsidR="00221A24" w:rsidRPr="00221A24" w:rsidRDefault="00221A24" w:rsidP="00221A24">
      <w:pPr>
        <w:spacing w:after="0" w:line="240" w:lineRule="auto"/>
        <w:rPr>
          <w:rFonts w:ascii="Arial" w:eastAsia="Times New Roman" w:hAnsi="Arial" w:cs="Arial"/>
          <w:b/>
          <w:sz w:val="20"/>
          <w:szCs w:val="20"/>
          <w:lang w:eastAsia="es-ES"/>
        </w:rPr>
      </w:pPr>
    </w:p>
    <w:p w:rsidR="00221A24" w:rsidRPr="00221A24" w:rsidRDefault="00221A24" w:rsidP="00221A24">
      <w:pPr>
        <w:spacing w:after="0" w:line="240" w:lineRule="auto"/>
        <w:rPr>
          <w:rFonts w:ascii="Arial" w:eastAsia="Times New Roman" w:hAnsi="Arial" w:cs="Arial"/>
          <w:sz w:val="18"/>
          <w:szCs w:val="18"/>
          <w:lang w:eastAsia="es-ES"/>
        </w:rPr>
      </w:pPr>
      <w:r w:rsidRPr="00221A24">
        <w:rPr>
          <w:rFonts w:ascii="Arial" w:eastAsia="Times New Roman" w:hAnsi="Arial" w:cs="Arial"/>
          <w:sz w:val="18"/>
          <w:szCs w:val="18"/>
          <w:lang w:eastAsia="es-ES"/>
        </w:rPr>
        <w:t>Nota Fuente: Informe de rendimiento de cuentas de área. (2017)</w:t>
      </w:r>
    </w:p>
    <w:p w:rsidR="00DA62C0" w:rsidRDefault="00DA62C0">
      <w:pPr>
        <w:rPr>
          <w:rFonts w:ascii="Arial" w:eastAsia="Times New Roman" w:hAnsi="Arial" w:cs="Arial"/>
          <w:sz w:val="20"/>
          <w:szCs w:val="20"/>
          <w:lang w:val="es-ES" w:eastAsia="es-ES"/>
        </w:rPr>
      </w:pPr>
      <w:r>
        <w:rPr>
          <w:rFonts w:ascii="Arial" w:eastAsia="Times New Roman" w:hAnsi="Arial" w:cs="Arial"/>
          <w:sz w:val="20"/>
          <w:szCs w:val="20"/>
          <w:lang w:val="es-ES" w:eastAsia="es-ES"/>
        </w:rPr>
        <w:br w:type="page"/>
      </w:r>
    </w:p>
    <w:p w:rsidR="00904E99" w:rsidRPr="00493C0A" w:rsidRDefault="00904E99" w:rsidP="00493C0A">
      <w:pPr>
        <w:spacing w:after="0" w:line="240" w:lineRule="auto"/>
        <w:rPr>
          <w:rFonts w:ascii="Arial" w:eastAsia="Times New Roman" w:hAnsi="Arial" w:cs="Arial"/>
          <w:b/>
          <w:sz w:val="20"/>
          <w:szCs w:val="20"/>
          <w:lang w:eastAsia="es-ES"/>
        </w:rPr>
      </w:pPr>
      <w:r w:rsidRPr="00493C0A">
        <w:rPr>
          <w:rFonts w:ascii="Arial" w:eastAsia="Times New Roman" w:hAnsi="Arial" w:cs="Arial"/>
          <w:b/>
          <w:sz w:val="20"/>
          <w:szCs w:val="20"/>
          <w:lang w:eastAsia="es-ES"/>
        </w:rPr>
        <w:lastRenderedPageBreak/>
        <w:t>Indicador N°9 Cantidad de inconformidades atendidas en relación con las recibidas ante la Contraloría de Servicios</w:t>
      </w:r>
    </w:p>
    <w:p w:rsidR="00904E99" w:rsidRPr="00493C0A" w:rsidRDefault="00904E99" w:rsidP="00493C0A">
      <w:pPr>
        <w:spacing w:after="0" w:line="240" w:lineRule="auto"/>
        <w:rPr>
          <w:rFonts w:ascii="Arial" w:eastAsia="Times New Roman" w:hAnsi="Arial" w:cs="Arial"/>
          <w:b/>
          <w:sz w:val="20"/>
          <w:szCs w:val="20"/>
          <w:lang w:eastAsia="es-ES"/>
        </w:rPr>
      </w:pPr>
    </w:p>
    <w:p w:rsidR="00904E99" w:rsidRPr="009E561D" w:rsidRDefault="00904E99" w:rsidP="009E561D">
      <w:pPr>
        <w:spacing w:after="0" w:line="240" w:lineRule="auto"/>
        <w:jc w:val="both"/>
        <w:rPr>
          <w:rFonts w:ascii="Arial" w:eastAsia="Times New Roman" w:hAnsi="Arial" w:cs="Arial"/>
          <w:sz w:val="20"/>
          <w:szCs w:val="20"/>
          <w:lang w:eastAsia="es-ES"/>
        </w:rPr>
      </w:pPr>
      <w:r w:rsidRPr="009E561D">
        <w:rPr>
          <w:rFonts w:ascii="Arial" w:eastAsia="Times New Roman" w:hAnsi="Arial" w:cs="Arial"/>
          <w:sz w:val="20"/>
          <w:szCs w:val="20"/>
          <w:lang w:eastAsia="es-ES"/>
        </w:rPr>
        <w:t xml:space="preserve">A diciembre se recibieron 225 inconformidades, 13 denuncias y 52 consultas, las cuales fueron atendidas en un 100% por la Contraloría de Servicios y remitidas a la Unidad responsable, para el trámite correspondiente y que se diera respuesta a la misma. </w:t>
      </w:r>
    </w:p>
    <w:p w:rsidR="00904E99" w:rsidRPr="009E561D" w:rsidRDefault="00904E99" w:rsidP="009E561D">
      <w:pPr>
        <w:spacing w:after="0" w:line="240" w:lineRule="auto"/>
        <w:jc w:val="both"/>
        <w:rPr>
          <w:rFonts w:ascii="Arial" w:eastAsia="Times New Roman" w:hAnsi="Arial" w:cs="Arial"/>
          <w:sz w:val="20"/>
          <w:szCs w:val="20"/>
          <w:lang w:eastAsia="es-ES"/>
        </w:rPr>
      </w:pPr>
    </w:p>
    <w:p w:rsidR="00904E99" w:rsidRPr="009E561D" w:rsidRDefault="00904E99" w:rsidP="009E561D">
      <w:pPr>
        <w:spacing w:after="0" w:line="240" w:lineRule="auto"/>
        <w:jc w:val="both"/>
        <w:rPr>
          <w:rFonts w:ascii="Arial" w:eastAsia="Times New Roman" w:hAnsi="Arial" w:cs="Arial"/>
          <w:sz w:val="20"/>
          <w:szCs w:val="20"/>
          <w:lang w:eastAsia="es-ES"/>
        </w:rPr>
      </w:pPr>
      <w:r w:rsidRPr="009E561D">
        <w:rPr>
          <w:rFonts w:ascii="Arial" w:eastAsia="Times New Roman" w:hAnsi="Arial" w:cs="Arial"/>
          <w:sz w:val="20"/>
          <w:szCs w:val="20"/>
          <w:lang w:eastAsia="es-ES"/>
        </w:rPr>
        <w:t>La meta a diciembre se cumplió en un 100%.</w:t>
      </w:r>
    </w:p>
    <w:p w:rsidR="00904E99" w:rsidRPr="009E561D" w:rsidRDefault="00904E99" w:rsidP="009E561D">
      <w:pPr>
        <w:spacing w:after="0" w:line="240" w:lineRule="auto"/>
        <w:jc w:val="both"/>
        <w:rPr>
          <w:rFonts w:ascii="Arial" w:eastAsia="Times New Roman" w:hAnsi="Arial" w:cs="Arial"/>
          <w:sz w:val="20"/>
          <w:szCs w:val="20"/>
          <w:lang w:eastAsia="es-ES"/>
        </w:rPr>
      </w:pPr>
    </w:p>
    <w:p w:rsidR="00904E99" w:rsidRPr="009E561D" w:rsidRDefault="00904E99" w:rsidP="009E561D">
      <w:pPr>
        <w:spacing w:after="0" w:line="240" w:lineRule="auto"/>
        <w:jc w:val="both"/>
        <w:rPr>
          <w:rFonts w:ascii="Arial" w:eastAsia="Times New Roman" w:hAnsi="Arial" w:cs="Arial"/>
          <w:sz w:val="20"/>
          <w:szCs w:val="20"/>
          <w:lang w:eastAsia="es-ES"/>
        </w:rPr>
      </w:pPr>
      <w:r w:rsidRPr="009E561D">
        <w:rPr>
          <w:rFonts w:ascii="Arial" w:eastAsia="Times New Roman" w:hAnsi="Arial" w:cs="Arial"/>
          <w:sz w:val="20"/>
          <w:szCs w:val="20"/>
          <w:lang w:eastAsia="es-ES"/>
        </w:rPr>
        <w:t xml:space="preserve">La Unidad de Canales de Servicios, es la que presenta la mayor cantidad de inconformidades por parte de los usuarios con 70,  lo que  representa el 31% y la Unidad con menores inconformidades corresponde a la Unidad de Gestión de Servicios, con 22 inconformidades, que representa el 10%, como se  puede observar en el cuadro y gráfico siguiente. </w:t>
      </w:r>
    </w:p>
    <w:p w:rsidR="00904E99" w:rsidRPr="00493C0A" w:rsidRDefault="00904E99" w:rsidP="00493C0A">
      <w:pPr>
        <w:spacing w:after="0" w:line="240" w:lineRule="auto"/>
        <w:rPr>
          <w:rFonts w:ascii="Arial" w:eastAsia="Times New Roman" w:hAnsi="Arial" w:cs="Arial"/>
          <w:b/>
          <w:sz w:val="20"/>
          <w:szCs w:val="20"/>
          <w:lang w:eastAsia="es-ES"/>
        </w:rPr>
      </w:pPr>
    </w:p>
    <w:tbl>
      <w:tblPr>
        <w:tblpPr w:leftFromText="141" w:rightFromText="141" w:vertAnchor="text" w:horzAnchor="margin" w:tblpXSpec="center" w:tblpY="-84"/>
        <w:tblW w:w="10107" w:type="dxa"/>
        <w:tblCellMar>
          <w:left w:w="70" w:type="dxa"/>
          <w:right w:w="70" w:type="dxa"/>
        </w:tblCellMar>
        <w:tblLook w:val="04A0" w:firstRow="1" w:lastRow="0" w:firstColumn="1" w:lastColumn="0" w:noHBand="0" w:noVBand="1"/>
      </w:tblPr>
      <w:tblGrid>
        <w:gridCol w:w="3025"/>
        <w:gridCol w:w="781"/>
        <w:gridCol w:w="1127"/>
        <w:gridCol w:w="5174"/>
      </w:tblGrid>
      <w:tr w:rsidR="00904E99" w:rsidRPr="000316DE" w:rsidTr="00746DC0">
        <w:trPr>
          <w:trHeight w:val="251"/>
        </w:trPr>
        <w:tc>
          <w:tcPr>
            <w:tcW w:w="10107" w:type="dxa"/>
            <w:gridSpan w:val="4"/>
            <w:tcBorders>
              <w:top w:val="nil"/>
              <w:left w:val="nil"/>
              <w:bottom w:val="single" w:sz="8" w:space="0" w:color="auto"/>
              <w:right w:val="nil"/>
            </w:tcBorders>
            <w:shd w:val="clear" w:color="auto" w:fill="auto"/>
            <w:vAlign w:val="bottom"/>
            <w:hideMark/>
          </w:tcPr>
          <w:p w:rsidR="00904E99" w:rsidRPr="000316DE" w:rsidRDefault="00904E99" w:rsidP="009E561D">
            <w:pPr>
              <w:spacing w:after="0" w:line="240" w:lineRule="auto"/>
              <w:jc w:val="center"/>
              <w:rPr>
                <w:rFonts w:ascii="Arial" w:eastAsia="Times New Roman" w:hAnsi="Arial" w:cs="Arial"/>
                <w:b/>
                <w:sz w:val="18"/>
                <w:szCs w:val="18"/>
                <w:lang w:eastAsia="es-ES"/>
              </w:rPr>
            </w:pPr>
            <w:r w:rsidRPr="000316DE">
              <w:rPr>
                <w:rFonts w:ascii="Arial" w:eastAsia="Times New Roman" w:hAnsi="Arial" w:cs="Arial"/>
                <w:b/>
                <w:sz w:val="18"/>
                <w:szCs w:val="18"/>
                <w:lang w:eastAsia="es-ES"/>
              </w:rPr>
              <w:t>Cuadro N°3 Comportamiento de las Inconformidades</w:t>
            </w:r>
            <w:r w:rsidRPr="000316DE">
              <w:rPr>
                <w:rFonts w:ascii="Arial" w:eastAsia="Times New Roman" w:hAnsi="Arial" w:cs="Arial"/>
                <w:b/>
                <w:sz w:val="18"/>
                <w:szCs w:val="18"/>
                <w:lang w:eastAsia="es-ES"/>
              </w:rPr>
              <w:br/>
              <w:t>Enero - diciembre 2017</w:t>
            </w:r>
          </w:p>
        </w:tc>
      </w:tr>
      <w:tr w:rsidR="00904E99" w:rsidRPr="000316DE" w:rsidTr="00746DC0">
        <w:trPr>
          <w:trHeight w:val="138"/>
        </w:trPr>
        <w:tc>
          <w:tcPr>
            <w:tcW w:w="3025" w:type="dxa"/>
            <w:tcBorders>
              <w:top w:val="nil"/>
              <w:left w:val="single" w:sz="8" w:space="0" w:color="auto"/>
              <w:bottom w:val="single" w:sz="8" w:space="0" w:color="auto"/>
              <w:right w:val="single" w:sz="4" w:space="0" w:color="auto"/>
            </w:tcBorders>
            <w:shd w:val="clear" w:color="auto" w:fill="auto"/>
            <w:noWrap/>
            <w:vAlign w:val="bottom"/>
            <w:hideMark/>
          </w:tcPr>
          <w:p w:rsidR="00904E99" w:rsidRPr="000316DE" w:rsidRDefault="00904E99" w:rsidP="00493C0A">
            <w:pPr>
              <w:spacing w:after="0" w:line="240" w:lineRule="auto"/>
              <w:rPr>
                <w:rFonts w:ascii="Arial" w:eastAsia="Times New Roman" w:hAnsi="Arial" w:cs="Arial"/>
                <w:sz w:val="18"/>
                <w:szCs w:val="18"/>
                <w:lang w:eastAsia="es-ES"/>
              </w:rPr>
            </w:pPr>
            <w:r w:rsidRPr="000316DE">
              <w:rPr>
                <w:rFonts w:ascii="Arial" w:eastAsia="Times New Roman" w:hAnsi="Arial" w:cs="Arial"/>
                <w:sz w:val="18"/>
                <w:szCs w:val="18"/>
                <w:lang w:eastAsia="es-ES"/>
              </w:rPr>
              <w:t>Unidad</w:t>
            </w:r>
          </w:p>
        </w:tc>
        <w:tc>
          <w:tcPr>
            <w:tcW w:w="1908" w:type="dxa"/>
            <w:gridSpan w:val="2"/>
            <w:tcBorders>
              <w:top w:val="single" w:sz="8" w:space="0" w:color="auto"/>
              <w:left w:val="nil"/>
              <w:bottom w:val="single" w:sz="8" w:space="0" w:color="auto"/>
              <w:right w:val="single" w:sz="4" w:space="0" w:color="auto"/>
            </w:tcBorders>
            <w:shd w:val="clear" w:color="auto" w:fill="auto"/>
            <w:noWrap/>
            <w:vAlign w:val="bottom"/>
            <w:hideMark/>
          </w:tcPr>
          <w:p w:rsidR="00904E99" w:rsidRPr="000316DE" w:rsidRDefault="00904E99" w:rsidP="00493C0A">
            <w:pPr>
              <w:spacing w:after="0" w:line="240" w:lineRule="auto"/>
              <w:rPr>
                <w:rFonts w:ascii="Arial" w:eastAsia="Times New Roman" w:hAnsi="Arial" w:cs="Arial"/>
                <w:sz w:val="18"/>
                <w:szCs w:val="18"/>
                <w:lang w:eastAsia="es-ES"/>
              </w:rPr>
            </w:pPr>
            <w:r w:rsidRPr="000316DE">
              <w:rPr>
                <w:rFonts w:ascii="Arial" w:eastAsia="Times New Roman" w:hAnsi="Arial" w:cs="Arial"/>
                <w:sz w:val="18"/>
                <w:szCs w:val="18"/>
                <w:lang w:eastAsia="es-ES"/>
              </w:rPr>
              <w:t>Inconformidades</w:t>
            </w:r>
          </w:p>
        </w:tc>
        <w:tc>
          <w:tcPr>
            <w:tcW w:w="5174" w:type="dxa"/>
            <w:tcBorders>
              <w:top w:val="nil"/>
              <w:left w:val="nil"/>
              <w:bottom w:val="single" w:sz="8" w:space="0" w:color="auto"/>
              <w:right w:val="single" w:sz="8" w:space="0" w:color="auto"/>
            </w:tcBorders>
            <w:shd w:val="clear" w:color="auto" w:fill="auto"/>
            <w:noWrap/>
            <w:vAlign w:val="bottom"/>
            <w:hideMark/>
          </w:tcPr>
          <w:p w:rsidR="00904E99" w:rsidRPr="000316DE" w:rsidRDefault="00904E99" w:rsidP="00493C0A">
            <w:pPr>
              <w:spacing w:after="0" w:line="240" w:lineRule="auto"/>
              <w:rPr>
                <w:rFonts w:ascii="Arial" w:eastAsia="Times New Roman" w:hAnsi="Arial" w:cs="Arial"/>
                <w:sz w:val="18"/>
                <w:szCs w:val="18"/>
                <w:lang w:eastAsia="es-ES"/>
              </w:rPr>
            </w:pPr>
            <w:r w:rsidRPr="000316DE">
              <w:rPr>
                <w:rFonts w:ascii="Arial" w:eastAsia="Times New Roman" w:hAnsi="Arial" w:cs="Arial"/>
                <w:sz w:val="18"/>
                <w:szCs w:val="18"/>
                <w:lang w:eastAsia="es-ES"/>
              </w:rPr>
              <w:t>Principales causas</w:t>
            </w:r>
          </w:p>
        </w:tc>
      </w:tr>
      <w:tr w:rsidR="00904E99" w:rsidRPr="000316DE" w:rsidTr="00746DC0">
        <w:trPr>
          <w:trHeight w:val="528"/>
        </w:trPr>
        <w:tc>
          <w:tcPr>
            <w:tcW w:w="3025" w:type="dxa"/>
            <w:tcBorders>
              <w:top w:val="nil"/>
              <w:left w:val="single" w:sz="8" w:space="0" w:color="auto"/>
              <w:bottom w:val="single" w:sz="4" w:space="0" w:color="auto"/>
              <w:right w:val="single" w:sz="4" w:space="0" w:color="auto"/>
            </w:tcBorders>
            <w:shd w:val="clear" w:color="auto" w:fill="auto"/>
            <w:noWrap/>
            <w:vAlign w:val="center"/>
            <w:hideMark/>
          </w:tcPr>
          <w:p w:rsidR="00904E99" w:rsidRPr="000316DE" w:rsidRDefault="00904E99" w:rsidP="00493C0A">
            <w:pPr>
              <w:spacing w:after="0" w:line="240" w:lineRule="auto"/>
              <w:rPr>
                <w:rFonts w:ascii="Arial" w:eastAsia="Times New Roman" w:hAnsi="Arial" w:cs="Arial"/>
                <w:sz w:val="18"/>
                <w:szCs w:val="18"/>
                <w:lang w:eastAsia="es-ES"/>
              </w:rPr>
            </w:pPr>
            <w:r w:rsidRPr="000316DE">
              <w:rPr>
                <w:rFonts w:ascii="Arial" w:eastAsia="Times New Roman" w:hAnsi="Arial" w:cs="Arial"/>
                <w:sz w:val="18"/>
                <w:szCs w:val="18"/>
                <w:lang w:eastAsia="es-ES"/>
              </w:rPr>
              <w:t xml:space="preserve">Canales de Servicios </w:t>
            </w:r>
          </w:p>
        </w:tc>
        <w:tc>
          <w:tcPr>
            <w:tcW w:w="781" w:type="dxa"/>
            <w:tcBorders>
              <w:top w:val="nil"/>
              <w:left w:val="nil"/>
              <w:bottom w:val="single" w:sz="4" w:space="0" w:color="auto"/>
              <w:right w:val="single" w:sz="4" w:space="0" w:color="auto"/>
            </w:tcBorders>
            <w:shd w:val="clear" w:color="auto" w:fill="auto"/>
            <w:noWrap/>
            <w:vAlign w:val="center"/>
            <w:hideMark/>
          </w:tcPr>
          <w:p w:rsidR="00904E99" w:rsidRPr="000316DE" w:rsidRDefault="00904E99" w:rsidP="00493C0A">
            <w:pPr>
              <w:spacing w:after="0" w:line="240" w:lineRule="auto"/>
              <w:rPr>
                <w:rFonts w:ascii="Arial" w:eastAsia="Times New Roman" w:hAnsi="Arial" w:cs="Arial"/>
                <w:sz w:val="18"/>
                <w:szCs w:val="18"/>
                <w:lang w:eastAsia="es-ES"/>
              </w:rPr>
            </w:pPr>
            <w:r w:rsidRPr="000316DE">
              <w:rPr>
                <w:rFonts w:ascii="Arial" w:eastAsia="Times New Roman" w:hAnsi="Arial" w:cs="Arial"/>
                <w:sz w:val="18"/>
                <w:szCs w:val="18"/>
                <w:lang w:eastAsia="es-ES"/>
              </w:rPr>
              <w:t>70</w:t>
            </w:r>
          </w:p>
        </w:tc>
        <w:tc>
          <w:tcPr>
            <w:tcW w:w="1126" w:type="dxa"/>
            <w:tcBorders>
              <w:top w:val="nil"/>
              <w:left w:val="nil"/>
              <w:bottom w:val="single" w:sz="4" w:space="0" w:color="auto"/>
              <w:right w:val="single" w:sz="4" w:space="0" w:color="auto"/>
            </w:tcBorders>
            <w:shd w:val="clear" w:color="auto" w:fill="auto"/>
            <w:noWrap/>
            <w:vAlign w:val="center"/>
          </w:tcPr>
          <w:p w:rsidR="00904E99" w:rsidRPr="000316DE" w:rsidRDefault="00904E99" w:rsidP="00493C0A">
            <w:pPr>
              <w:spacing w:after="0" w:line="240" w:lineRule="auto"/>
              <w:rPr>
                <w:rFonts w:ascii="Arial" w:eastAsia="Times New Roman" w:hAnsi="Arial" w:cs="Arial"/>
                <w:sz w:val="18"/>
                <w:szCs w:val="18"/>
                <w:lang w:eastAsia="es-ES"/>
              </w:rPr>
            </w:pPr>
            <w:r w:rsidRPr="000316DE">
              <w:rPr>
                <w:rFonts w:ascii="Arial" w:eastAsia="Times New Roman" w:hAnsi="Arial" w:cs="Arial"/>
                <w:sz w:val="18"/>
                <w:szCs w:val="18"/>
                <w:lang w:eastAsia="es-ES"/>
              </w:rPr>
              <w:t>31%</w:t>
            </w:r>
          </w:p>
        </w:tc>
        <w:tc>
          <w:tcPr>
            <w:tcW w:w="5174" w:type="dxa"/>
            <w:tcBorders>
              <w:top w:val="nil"/>
              <w:left w:val="nil"/>
              <w:bottom w:val="single" w:sz="4" w:space="0" w:color="auto"/>
              <w:right w:val="single" w:sz="8" w:space="0" w:color="auto"/>
            </w:tcBorders>
            <w:shd w:val="clear" w:color="auto" w:fill="auto"/>
            <w:vAlign w:val="bottom"/>
            <w:hideMark/>
          </w:tcPr>
          <w:p w:rsidR="00904E99" w:rsidRPr="000316DE" w:rsidRDefault="00904E99" w:rsidP="00493C0A">
            <w:pPr>
              <w:spacing w:after="0" w:line="240" w:lineRule="auto"/>
              <w:rPr>
                <w:rFonts w:ascii="Arial" w:eastAsia="Times New Roman" w:hAnsi="Arial" w:cs="Arial"/>
                <w:sz w:val="18"/>
                <w:szCs w:val="18"/>
                <w:lang w:eastAsia="es-ES"/>
              </w:rPr>
            </w:pPr>
            <w:r w:rsidRPr="000316DE">
              <w:rPr>
                <w:rFonts w:ascii="Arial" w:eastAsia="Times New Roman" w:hAnsi="Arial" w:cs="Arial"/>
                <w:sz w:val="18"/>
                <w:szCs w:val="18"/>
                <w:lang w:eastAsia="es-ES"/>
              </w:rPr>
              <w:t>En Plataforma de Servicios:</w:t>
            </w:r>
          </w:p>
          <w:p w:rsidR="00904E99" w:rsidRPr="000316DE" w:rsidRDefault="00904E99" w:rsidP="00493C0A">
            <w:pPr>
              <w:spacing w:after="0" w:line="240" w:lineRule="auto"/>
              <w:rPr>
                <w:rFonts w:ascii="Arial" w:eastAsia="Times New Roman" w:hAnsi="Arial" w:cs="Arial"/>
                <w:sz w:val="18"/>
                <w:szCs w:val="18"/>
                <w:lang w:eastAsia="es-ES"/>
              </w:rPr>
            </w:pPr>
            <w:r w:rsidRPr="000316DE">
              <w:rPr>
                <w:rFonts w:ascii="Arial" w:eastAsia="Times New Roman" w:hAnsi="Arial" w:cs="Arial"/>
                <w:sz w:val="18"/>
                <w:szCs w:val="18"/>
                <w:lang w:eastAsia="es-ES"/>
              </w:rPr>
              <w:t>- Falta de claridad en requisitos e información.</w:t>
            </w:r>
            <w:r w:rsidRPr="000316DE">
              <w:rPr>
                <w:rFonts w:ascii="Arial" w:eastAsia="Times New Roman" w:hAnsi="Arial" w:cs="Arial"/>
                <w:sz w:val="18"/>
                <w:szCs w:val="18"/>
                <w:lang w:eastAsia="es-ES"/>
              </w:rPr>
              <w:br/>
              <w:t>- Lentitud en atención.</w:t>
            </w:r>
            <w:r w:rsidRPr="000316DE">
              <w:rPr>
                <w:rFonts w:ascii="Arial" w:eastAsia="Times New Roman" w:hAnsi="Arial" w:cs="Arial"/>
                <w:sz w:val="18"/>
                <w:szCs w:val="18"/>
                <w:lang w:eastAsia="es-ES"/>
              </w:rPr>
              <w:br/>
              <w:t>- No atención de llamadas telefónicas y correos.</w:t>
            </w:r>
            <w:r w:rsidRPr="000316DE">
              <w:rPr>
                <w:rFonts w:ascii="Arial" w:eastAsia="Times New Roman" w:hAnsi="Arial" w:cs="Arial"/>
                <w:sz w:val="18"/>
                <w:szCs w:val="18"/>
                <w:lang w:eastAsia="es-ES"/>
              </w:rPr>
              <w:br/>
              <w:t>- Atrasos en devolución de dinero por renuncias.</w:t>
            </w:r>
          </w:p>
        </w:tc>
      </w:tr>
      <w:tr w:rsidR="00904E99" w:rsidRPr="000316DE" w:rsidTr="00746DC0">
        <w:trPr>
          <w:trHeight w:val="396"/>
        </w:trPr>
        <w:tc>
          <w:tcPr>
            <w:tcW w:w="3025" w:type="dxa"/>
            <w:tcBorders>
              <w:top w:val="nil"/>
              <w:left w:val="single" w:sz="8" w:space="0" w:color="auto"/>
              <w:bottom w:val="single" w:sz="4" w:space="0" w:color="auto"/>
              <w:right w:val="single" w:sz="4" w:space="0" w:color="auto"/>
            </w:tcBorders>
            <w:shd w:val="clear" w:color="auto" w:fill="auto"/>
            <w:noWrap/>
            <w:vAlign w:val="center"/>
            <w:hideMark/>
          </w:tcPr>
          <w:p w:rsidR="00904E99" w:rsidRPr="000316DE" w:rsidRDefault="00904E99" w:rsidP="00493C0A">
            <w:pPr>
              <w:spacing w:after="0" w:line="240" w:lineRule="auto"/>
              <w:rPr>
                <w:rFonts w:ascii="Arial" w:eastAsia="Times New Roman" w:hAnsi="Arial" w:cs="Arial"/>
                <w:sz w:val="18"/>
                <w:szCs w:val="18"/>
                <w:lang w:eastAsia="es-ES"/>
              </w:rPr>
            </w:pPr>
            <w:r w:rsidRPr="000316DE">
              <w:rPr>
                <w:rFonts w:ascii="Arial" w:eastAsia="Times New Roman" w:hAnsi="Arial" w:cs="Arial"/>
                <w:sz w:val="18"/>
                <w:szCs w:val="18"/>
                <w:lang w:eastAsia="es-ES"/>
              </w:rPr>
              <w:t>Otras áreas</w:t>
            </w:r>
          </w:p>
        </w:tc>
        <w:tc>
          <w:tcPr>
            <w:tcW w:w="781" w:type="dxa"/>
            <w:tcBorders>
              <w:top w:val="nil"/>
              <w:left w:val="nil"/>
              <w:bottom w:val="single" w:sz="4" w:space="0" w:color="auto"/>
              <w:right w:val="single" w:sz="4" w:space="0" w:color="auto"/>
            </w:tcBorders>
            <w:shd w:val="clear" w:color="auto" w:fill="auto"/>
            <w:noWrap/>
            <w:vAlign w:val="bottom"/>
          </w:tcPr>
          <w:p w:rsidR="00904E99" w:rsidRPr="000316DE" w:rsidRDefault="00904E99" w:rsidP="00493C0A">
            <w:pPr>
              <w:spacing w:after="0" w:line="240" w:lineRule="auto"/>
              <w:rPr>
                <w:rFonts w:ascii="Arial" w:eastAsia="Times New Roman" w:hAnsi="Arial" w:cs="Arial"/>
                <w:sz w:val="18"/>
                <w:szCs w:val="18"/>
                <w:lang w:eastAsia="es-ES"/>
              </w:rPr>
            </w:pPr>
            <w:r w:rsidRPr="000316DE">
              <w:rPr>
                <w:rFonts w:ascii="Arial" w:eastAsia="Times New Roman" w:hAnsi="Arial" w:cs="Arial"/>
                <w:sz w:val="18"/>
                <w:szCs w:val="18"/>
                <w:lang w:eastAsia="es-ES"/>
              </w:rPr>
              <w:t>46</w:t>
            </w:r>
          </w:p>
        </w:tc>
        <w:tc>
          <w:tcPr>
            <w:tcW w:w="1126" w:type="dxa"/>
            <w:tcBorders>
              <w:top w:val="nil"/>
              <w:left w:val="nil"/>
              <w:bottom w:val="single" w:sz="4" w:space="0" w:color="auto"/>
              <w:right w:val="single" w:sz="4" w:space="0" w:color="auto"/>
            </w:tcBorders>
            <w:shd w:val="clear" w:color="auto" w:fill="auto"/>
            <w:noWrap/>
            <w:vAlign w:val="center"/>
          </w:tcPr>
          <w:p w:rsidR="00904E99" w:rsidRPr="000316DE" w:rsidRDefault="00904E99" w:rsidP="00493C0A">
            <w:pPr>
              <w:spacing w:after="0" w:line="240" w:lineRule="auto"/>
              <w:rPr>
                <w:rFonts w:ascii="Arial" w:eastAsia="Times New Roman" w:hAnsi="Arial" w:cs="Arial"/>
                <w:sz w:val="18"/>
                <w:szCs w:val="18"/>
                <w:lang w:eastAsia="es-ES"/>
              </w:rPr>
            </w:pPr>
            <w:r w:rsidRPr="000316DE">
              <w:rPr>
                <w:rFonts w:ascii="Arial" w:eastAsia="Times New Roman" w:hAnsi="Arial" w:cs="Arial"/>
                <w:sz w:val="18"/>
                <w:szCs w:val="18"/>
                <w:lang w:eastAsia="es-ES"/>
              </w:rPr>
              <w:t>20%</w:t>
            </w:r>
          </w:p>
        </w:tc>
        <w:tc>
          <w:tcPr>
            <w:tcW w:w="5174" w:type="dxa"/>
            <w:tcBorders>
              <w:top w:val="nil"/>
              <w:left w:val="nil"/>
              <w:bottom w:val="single" w:sz="4" w:space="0" w:color="auto"/>
              <w:right w:val="single" w:sz="8" w:space="0" w:color="auto"/>
            </w:tcBorders>
            <w:shd w:val="clear" w:color="auto" w:fill="auto"/>
            <w:vAlign w:val="bottom"/>
            <w:hideMark/>
          </w:tcPr>
          <w:p w:rsidR="00904E99" w:rsidRPr="000316DE" w:rsidRDefault="00904E99" w:rsidP="00493C0A">
            <w:pPr>
              <w:spacing w:after="0" w:line="240" w:lineRule="auto"/>
              <w:rPr>
                <w:rFonts w:ascii="Arial" w:eastAsia="Times New Roman" w:hAnsi="Arial" w:cs="Arial"/>
                <w:sz w:val="18"/>
                <w:szCs w:val="18"/>
                <w:lang w:eastAsia="es-ES"/>
              </w:rPr>
            </w:pPr>
            <w:r w:rsidRPr="000316DE">
              <w:rPr>
                <w:rFonts w:ascii="Arial" w:eastAsia="Times New Roman" w:hAnsi="Arial" w:cs="Arial"/>
                <w:sz w:val="18"/>
                <w:szCs w:val="18"/>
                <w:lang w:eastAsia="es-ES"/>
              </w:rPr>
              <w:t> </w:t>
            </w:r>
          </w:p>
        </w:tc>
      </w:tr>
      <w:tr w:rsidR="00904E99" w:rsidRPr="000316DE" w:rsidTr="00746DC0">
        <w:trPr>
          <w:trHeight w:val="263"/>
        </w:trPr>
        <w:tc>
          <w:tcPr>
            <w:tcW w:w="3025" w:type="dxa"/>
            <w:tcBorders>
              <w:top w:val="nil"/>
              <w:left w:val="single" w:sz="8" w:space="0" w:color="auto"/>
              <w:bottom w:val="single" w:sz="4" w:space="0" w:color="auto"/>
              <w:right w:val="single" w:sz="4" w:space="0" w:color="auto"/>
            </w:tcBorders>
            <w:shd w:val="clear" w:color="auto" w:fill="auto"/>
            <w:noWrap/>
            <w:vAlign w:val="center"/>
            <w:hideMark/>
          </w:tcPr>
          <w:p w:rsidR="00904E99" w:rsidRPr="000316DE" w:rsidRDefault="00904E99" w:rsidP="00493C0A">
            <w:pPr>
              <w:spacing w:after="0" w:line="240" w:lineRule="auto"/>
              <w:rPr>
                <w:rFonts w:ascii="Arial" w:eastAsia="Times New Roman" w:hAnsi="Arial" w:cs="Arial"/>
                <w:sz w:val="18"/>
                <w:szCs w:val="18"/>
                <w:lang w:eastAsia="es-ES"/>
              </w:rPr>
            </w:pPr>
            <w:r w:rsidRPr="000316DE">
              <w:rPr>
                <w:rFonts w:ascii="Arial" w:eastAsia="Times New Roman" w:hAnsi="Arial" w:cs="Arial"/>
                <w:sz w:val="18"/>
                <w:szCs w:val="18"/>
                <w:lang w:eastAsia="es-ES"/>
              </w:rPr>
              <w:t>Cobros</w:t>
            </w:r>
          </w:p>
        </w:tc>
        <w:tc>
          <w:tcPr>
            <w:tcW w:w="781" w:type="dxa"/>
            <w:tcBorders>
              <w:top w:val="nil"/>
              <w:left w:val="nil"/>
              <w:bottom w:val="single" w:sz="4" w:space="0" w:color="auto"/>
              <w:right w:val="single" w:sz="4" w:space="0" w:color="auto"/>
            </w:tcBorders>
            <w:shd w:val="clear" w:color="auto" w:fill="auto"/>
            <w:noWrap/>
            <w:vAlign w:val="bottom"/>
          </w:tcPr>
          <w:p w:rsidR="00904E99" w:rsidRPr="000316DE" w:rsidRDefault="00904E99" w:rsidP="00493C0A">
            <w:pPr>
              <w:spacing w:after="0" w:line="240" w:lineRule="auto"/>
              <w:rPr>
                <w:rFonts w:ascii="Arial" w:eastAsia="Times New Roman" w:hAnsi="Arial" w:cs="Arial"/>
                <w:sz w:val="18"/>
                <w:szCs w:val="18"/>
                <w:lang w:eastAsia="es-ES"/>
              </w:rPr>
            </w:pPr>
            <w:r w:rsidRPr="000316DE">
              <w:rPr>
                <w:rFonts w:ascii="Arial" w:eastAsia="Times New Roman" w:hAnsi="Arial" w:cs="Arial"/>
                <w:sz w:val="18"/>
                <w:szCs w:val="18"/>
                <w:lang w:eastAsia="es-ES"/>
              </w:rPr>
              <w:t>44</w:t>
            </w:r>
          </w:p>
        </w:tc>
        <w:tc>
          <w:tcPr>
            <w:tcW w:w="1126" w:type="dxa"/>
            <w:tcBorders>
              <w:top w:val="nil"/>
              <w:left w:val="nil"/>
              <w:bottom w:val="single" w:sz="4" w:space="0" w:color="auto"/>
              <w:right w:val="single" w:sz="4" w:space="0" w:color="auto"/>
            </w:tcBorders>
            <w:shd w:val="clear" w:color="auto" w:fill="auto"/>
            <w:noWrap/>
            <w:vAlign w:val="bottom"/>
          </w:tcPr>
          <w:p w:rsidR="00904E99" w:rsidRPr="000316DE" w:rsidRDefault="00904E99" w:rsidP="00493C0A">
            <w:pPr>
              <w:spacing w:after="0" w:line="240" w:lineRule="auto"/>
              <w:rPr>
                <w:rFonts w:ascii="Arial" w:eastAsia="Times New Roman" w:hAnsi="Arial" w:cs="Arial"/>
                <w:sz w:val="18"/>
                <w:szCs w:val="18"/>
                <w:lang w:eastAsia="es-ES"/>
              </w:rPr>
            </w:pPr>
            <w:r w:rsidRPr="000316DE">
              <w:rPr>
                <w:rFonts w:ascii="Arial" w:eastAsia="Times New Roman" w:hAnsi="Arial" w:cs="Arial"/>
                <w:sz w:val="18"/>
                <w:szCs w:val="18"/>
                <w:lang w:eastAsia="es-ES"/>
              </w:rPr>
              <w:t>20%</w:t>
            </w:r>
          </w:p>
        </w:tc>
        <w:tc>
          <w:tcPr>
            <w:tcW w:w="5174" w:type="dxa"/>
            <w:tcBorders>
              <w:top w:val="nil"/>
              <w:left w:val="nil"/>
              <w:bottom w:val="single" w:sz="4" w:space="0" w:color="auto"/>
              <w:right w:val="single" w:sz="8" w:space="0" w:color="auto"/>
            </w:tcBorders>
            <w:shd w:val="clear" w:color="auto" w:fill="auto"/>
            <w:vAlign w:val="bottom"/>
            <w:hideMark/>
          </w:tcPr>
          <w:p w:rsidR="00904E99" w:rsidRPr="000316DE" w:rsidRDefault="00904E99" w:rsidP="00493C0A">
            <w:pPr>
              <w:spacing w:after="0" w:line="240" w:lineRule="auto"/>
              <w:rPr>
                <w:rFonts w:ascii="Arial" w:eastAsia="Times New Roman" w:hAnsi="Arial" w:cs="Arial"/>
                <w:sz w:val="18"/>
                <w:szCs w:val="18"/>
                <w:lang w:eastAsia="es-ES"/>
              </w:rPr>
            </w:pPr>
            <w:r w:rsidRPr="000316DE">
              <w:rPr>
                <w:rFonts w:ascii="Arial" w:eastAsia="Times New Roman" w:hAnsi="Arial" w:cs="Arial"/>
                <w:sz w:val="18"/>
                <w:szCs w:val="18"/>
                <w:lang w:eastAsia="es-ES"/>
              </w:rPr>
              <w:t xml:space="preserve">Lo relacionado con el pago de mensualidades por cobro de intereses moratorios en cuenta al día, registro de depósitos, devolución de cuotas cobradas de más por deducción salarial, entre otros. </w:t>
            </w:r>
          </w:p>
        </w:tc>
      </w:tr>
      <w:tr w:rsidR="00904E99" w:rsidRPr="000316DE" w:rsidTr="00746DC0">
        <w:trPr>
          <w:trHeight w:val="132"/>
        </w:trPr>
        <w:tc>
          <w:tcPr>
            <w:tcW w:w="3025" w:type="dxa"/>
            <w:tcBorders>
              <w:top w:val="nil"/>
              <w:left w:val="single" w:sz="8" w:space="0" w:color="auto"/>
              <w:bottom w:val="single" w:sz="4" w:space="0" w:color="auto"/>
              <w:right w:val="single" w:sz="4" w:space="0" w:color="auto"/>
            </w:tcBorders>
            <w:shd w:val="clear" w:color="auto" w:fill="auto"/>
            <w:noWrap/>
            <w:vAlign w:val="center"/>
            <w:hideMark/>
          </w:tcPr>
          <w:p w:rsidR="00904E99" w:rsidRPr="000316DE" w:rsidRDefault="00904E99" w:rsidP="00493C0A">
            <w:pPr>
              <w:spacing w:after="0" w:line="240" w:lineRule="auto"/>
              <w:rPr>
                <w:rFonts w:ascii="Arial" w:eastAsia="Times New Roman" w:hAnsi="Arial" w:cs="Arial"/>
                <w:sz w:val="18"/>
                <w:szCs w:val="18"/>
                <w:lang w:eastAsia="es-ES"/>
              </w:rPr>
            </w:pPr>
            <w:r w:rsidRPr="000316DE">
              <w:rPr>
                <w:rFonts w:ascii="Arial" w:eastAsia="Times New Roman" w:hAnsi="Arial" w:cs="Arial"/>
                <w:sz w:val="18"/>
                <w:szCs w:val="18"/>
                <w:lang w:eastAsia="es-ES"/>
              </w:rPr>
              <w:t xml:space="preserve">Fondos de Inversión de Bienes Inmuebles </w:t>
            </w:r>
          </w:p>
        </w:tc>
        <w:tc>
          <w:tcPr>
            <w:tcW w:w="781" w:type="dxa"/>
            <w:tcBorders>
              <w:top w:val="nil"/>
              <w:left w:val="nil"/>
              <w:bottom w:val="single" w:sz="4" w:space="0" w:color="auto"/>
              <w:right w:val="single" w:sz="4" w:space="0" w:color="auto"/>
            </w:tcBorders>
            <w:shd w:val="clear" w:color="auto" w:fill="auto"/>
            <w:noWrap/>
            <w:vAlign w:val="bottom"/>
          </w:tcPr>
          <w:p w:rsidR="00904E99" w:rsidRPr="000316DE" w:rsidRDefault="00904E99" w:rsidP="00493C0A">
            <w:pPr>
              <w:spacing w:after="0" w:line="240" w:lineRule="auto"/>
              <w:rPr>
                <w:rFonts w:ascii="Arial" w:eastAsia="Times New Roman" w:hAnsi="Arial" w:cs="Arial"/>
                <w:sz w:val="18"/>
                <w:szCs w:val="18"/>
                <w:lang w:eastAsia="es-ES"/>
              </w:rPr>
            </w:pPr>
            <w:r w:rsidRPr="000316DE">
              <w:rPr>
                <w:rFonts w:ascii="Arial" w:eastAsia="Times New Roman" w:hAnsi="Arial" w:cs="Arial"/>
                <w:sz w:val="18"/>
                <w:szCs w:val="18"/>
                <w:lang w:eastAsia="es-ES"/>
              </w:rPr>
              <w:t>43</w:t>
            </w:r>
          </w:p>
        </w:tc>
        <w:tc>
          <w:tcPr>
            <w:tcW w:w="1126" w:type="dxa"/>
            <w:tcBorders>
              <w:top w:val="nil"/>
              <w:left w:val="nil"/>
              <w:bottom w:val="single" w:sz="4" w:space="0" w:color="auto"/>
              <w:right w:val="single" w:sz="4" w:space="0" w:color="auto"/>
            </w:tcBorders>
            <w:shd w:val="clear" w:color="auto" w:fill="auto"/>
            <w:noWrap/>
            <w:vAlign w:val="bottom"/>
          </w:tcPr>
          <w:p w:rsidR="00904E99" w:rsidRPr="000316DE" w:rsidRDefault="00904E99" w:rsidP="00493C0A">
            <w:pPr>
              <w:spacing w:after="0" w:line="240" w:lineRule="auto"/>
              <w:rPr>
                <w:rFonts w:ascii="Arial" w:eastAsia="Times New Roman" w:hAnsi="Arial" w:cs="Arial"/>
                <w:sz w:val="18"/>
                <w:szCs w:val="18"/>
                <w:lang w:eastAsia="es-ES"/>
              </w:rPr>
            </w:pPr>
            <w:r w:rsidRPr="000316DE">
              <w:rPr>
                <w:rFonts w:ascii="Arial" w:eastAsia="Times New Roman" w:hAnsi="Arial" w:cs="Arial"/>
                <w:sz w:val="18"/>
                <w:szCs w:val="18"/>
                <w:lang w:eastAsia="es-ES"/>
              </w:rPr>
              <w:t>19%</w:t>
            </w:r>
          </w:p>
        </w:tc>
        <w:tc>
          <w:tcPr>
            <w:tcW w:w="5174" w:type="dxa"/>
            <w:tcBorders>
              <w:top w:val="nil"/>
              <w:left w:val="nil"/>
              <w:bottom w:val="single" w:sz="4" w:space="0" w:color="auto"/>
              <w:right w:val="single" w:sz="8" w:space="0" w:color="auto"/>
            </w:tcBorders>
            <w:shd w:val="clear" w:color="auto" w:fill="auto"/>
            <w:noWrap/>
            <w:vAlign w:val="bottom"/>
            <w:hideMark/>
          </w:tcPr>
          <w:p w:rsidR="00904E99" w:rsidRPr="000316DE" w:rsidRDefault="00904E99" w:rsidP="00493C0A">
            <w:pPr>
              <w:spacing w:after="0" w:line="240" w:lineRule="auto"/>
              <w:rPr>
                <w:rFonts w:ascii="Arial" w:eastAsia="Times New Roman" w:hAnsi="Arial" w:cs="Arial"/>
                <w:sz w:val="18"/>
                <w:szCs w:val="18"/>
                <w:lang w:eastAsia="es-ES"/>
              </w:rPr>
            </w:pPr>
            <w:r w:rsidRPr="000316DE">
              <w:rPr>
                <w:rFonts w:ascii="Arial" w:eastAsia="Times New Roman" w:hAnsi="Arial" w:cs="Arial"/>
                <w:sz w:val="18"/>
                <w:szCs w:val="18"/>
                <w:lang w:eastAsia="es-ES"/>
              </w:rPr>
              <w:t>Atrasos en la atención de solicitudes para formalización de terrenos así como crédito para vivienda.</w:t>
            </w:r>
          </w:p>
        </w:tc>
      </w:tr>
      <w:tr w:rsidR="00904E99" w:rsidRPr="000316DE" w:rsidTr="00746DC0">
        <w:trPr>
          <w:trHeight w:val="396"/>
        </w:trPr>
        <w:tc>
          <w:tcPr>
            <w:tcW w:w="3025" w:type="dxa"/>
            <w:tcBorders>
              <w:top w:val="nil"/>
              <w:left w:val="single" w:sz="8" w:space="0" w:color="auto"/>
              <w:bottom w:val="single" w:sz="4" w:space="0" w:color="auto"/>
              <w:right w:val="single" w:sz="4" w:space="0" w:color="auto"/>
            </w:tcBorders>
            <w:shd w:val="clear" w:color="auto" w:fill="auto"/>
            <w:noWrap/>
            <w:vAlign w:val="center"/>
            <w:hideMark/>
          </w:tcPr>
          <w:p w:rsidR="00904E99" w:rsidRPr="000316DE" w:rsidRDefault="00904E99" w:rsidP="00493C0A">
            <w:pPr>
              <w:spacing w:after="0" w:line="240" w:lineRule="auto"/>
              <w:rPr>
                <w:rFonts w:ascii="Arial" w:eastAsia="Times New Roman" w:hAnsi="Arial" w:cs="Arial"/>
                <w:sz w:val="18"/>
                <w:szCs w:val="18"/>
                <w:lang w:eastAsia="es-ES"/>
              </w:rPr>
            </w:pPr>
            <w:r w:rsidRPr="000316DE">
              <w:rPr>
                <w:rFonts w:ascii="Arial" w:eastAsia="Times New Roman" w:hAnsi="Arial" w:cs="Arial"/>
                <w:sz w:val="18"/>
                <w:szCs w:val="18"/>
                <w:lang w:eastAsia="es-ES"/>
              </w:rPr>
              <w:t xml:space="preserve">Gestión de Servicios </w:t>
            </w:r>
          </w:p>
        </w:tc>
        <w:tc>
          <w:tcPr>
            <w:tcW w:w="781" w:type="dxa"/>
            <w:tcBorders>
              <w:top w:val="nil"/>
              <w:left w:val="nil"/>
              <w:bottom w:val="single" w:sz="4" w:space="0" w:color="auto"/>
              <w:right w:val="single" w:sz="4" w:space="0" w:color="auto"/>
            </w:tcBorders>
            <w:shd w:val="clear" w:color="auto" w:fill="auto"/>
            <w:noWrap/>
            <w:vAlign w:val="bottom"/>
          </w:tcPr>
          <w:p w:rsidR="00904E99" w:rsidRPr="000316DE" w:rsidRDefault="00904E99" w:rsidP="00493C0A">
            <w:pPr>
              <w:spacing w:after="0" w:line="240" w:lineRule="auto"/>
              <w:rPr>
                <w:rFonts w:ascii="Arial" w:eastAsia="Times New Roman" w:hAnsi="Arial" w:cs="Arial"/>
                <w:sz w:val="18"/>
                <w:szCs w:val="18"/>
                <w:lang w:eastAsia="es-ES"/>
              </w:rPr>
            </w:pPr>
            <w:r w:rsidRPr="000316DE">
              <w:rPr>
                <w:rFonts w:ascii="Arial" w:eastAsia="Times New Roman" w:hAnsi="Arial" w:cs="Arial"/>
                <w:sz w:val="18"/>
                <w:szCs w:val="18"/>
                <w:lang w:eastAsia="es-ES"/>
              </w:rPr>
              <w:t>22</w:t>
            </w:r>
          </w:p>
        </w:tc>
        <w:tc>
          <w:tcPr>
            <w:tcW w:w="1126" w:type="dxa"/>
            <w:tcBorders>
              <w:top w:val="nil"/>
              <w:left w:val="nil"/>
              <w:bottom w:val="single" w:sz="4" w:space="0" w:color="auto"/>
              <w:right w:val="single" w:sz="4" w:space="0" w:color="auto"/>
            </w:tcBorders>
            <w:shd w:val="clear" w:color="auto" w:fill="auto"/>
            <w:noWrap/>
            <w:vAlign w:val="bottom"/>
          </w:tcPr>
          <w:p w:rsidR="00904E99" w:rsidRPr="000316DE" w:rsidRDefault="00904E99" w:rsidP="00493C0A">
            <w:pPr>
              <w:spacing w:after="0" w:line="240" w:lineRule="auto"/>
              <w:rPr>
                <w:rFonts w:ascii="Arial" w:eastAsia="Times New Roman" w:hAnsi="Arial" w:cs="Arial"/>
                <w:sz w:val="18"/>
                <w:szCs w:val="18"/>
                <w:lang w:eastAsia="es-ES"/>
              </w:rPr>
            </w:pPr>
            <w:r w:rsidRPr="000316DE">
              <w:rPr>
                <w:rFonts w:ascii="Arial" w:eastAsia="Times New Roman" w:hAnsi="Arial" w:cs="Arial"/>
                <w:sz w:val="18"/>
                <w:szCs w:val="18"/>
                <w:lang w:eastAsia="es-ES"/>
              </w:rPr>
              <w:t>10%</w:t>
            </w:r>
          </w:p>
        </w:tc>
        <w:tc>
          <w:tcPr>
            <w:tcW w:w="5174" w:type="dxa"/>
            <w:tcBorders>
              <w:top w:val="nil"/>
              <w:left w:val="nil"/>
              <w:bottom w:val="single" w:sz="4" w:space="0" w:color="auto"/>
              <w:right w:val="single" w:sz="8" w:space="0" w:color="auto"/>
            </w:tcBorders>
            <w:shd w:val="clear" w:color="auto" w:fill="auto"/>
            <w:vAlign w:val="bottom"/>
            <w:hideMark/>
          </w:tcPr>
          <w:p w:rsidR="00904E99" w:rsidRPr="000316DE" w:rsidRDefault="00904E99" w:rsidP="00493C0A">
            <w:pPr>
              <w:spacing w:after="0" w:line="240" w:lineRule="auto"/>
              <w:rPr>
                <w:rFonts w:ascii="Arial" w:eastAsia="Times New Roman" w:hAnsi="Arial" w:cs="Arial"/>
                <w:sz w:val="18"/>
                <w:szCs w:val="18"/>
                <w:lang w:eastAsia="es-ES"/>
              </w:rPr>
            </w:pPr>
            <w:r w:rsidRPr="000316DE">
              <w:rPr>
                <w:rFonts w:ascii="Arial" w:eastAsia="Times New Roman" w:hAnsi="Arial" w:cs="Arial"/>
                <w:sz w:val="18"/>
                <w:szCs w:val="18"/>
                <w:lang w:eastAsia="es-ES"/>
              </w:rPr>
              <w:t>Formalizaciones de escritura y trámites de bono</w:t>
            </w:r>
          </w:p>
        </w:tc>
      </w:tr>
      <w:tr w:rsidR="00904E99" w:rsidRPr="000316DE" w:rsidTr="00746DC0">
        <w:trPr>
          <w:trHeight w:val="138"/>
        </w:trPr>
        <w:tc>
          <w:tcPr>
            <w:tcW w:w="3025" w:type="dxa"/>
            <w:tcBorders>
              <w:top w:val="nil"/>
              <w:left w:val="single" w:sz="8" w:space="0" w:color="auto"/>
              <w:bottom w:val="single" w:sz="8" w:space="0" w:color="auto"/>
              <w:right w:val="single" w:sz="4" w:space="0" w:color="auto"/>
            </w:tcBorders>
            <w:shd w:val="clear" w:color="auto" w:fill="auto"/>
            <w:noWrap/>
            <w:vAlign w:val="bottom"/>
            <w:hideMark/>
          </w:tcPr>
          <w:p w:rsidR="00904E99" w:rsidRPr="000316DE" w:rsidRDefault="00904E99" w:rsidP="00493C0A">
            <w:pPr>
              <w:spacing w:after="0" w:line="240" w:lineRule="auto"/>
              <w:rPr>
                <w:rFonts w:ascii="Arial" w:eastAsia="Times New Roman" w:hAnsi="Arial" w:cs="Arial"/>
                <w:sz w:val="18"/>
                <w:szCs w:val="18"/>
                <w:lang w:eastAsia="es-ES"/>
              </w:rPr>
            </w:pPr>
            <w:r w:rsidRPr="000316DE">
              <w:rPr>
                <w:rFonts w:ascii="Arial" w:eastAsia="Times New Roman" w:hAnsi="Arial" w:cs="Arial"/>
                <w:sz w:val="18"/>
                <w:szCs w:val="18"/>
                <w:lang w:eastAsia="es-ES"/>
              </w:rPr>
              <w:t>Total</w:t>
            </w:r>
          </w:p>
        </w:tc>
        <w:tc>
          <w:tcPr>
            <w:tcW w:w="781" w:type="dxa"/>
            <w:tcBorders>
              <w:top w:val="nil"/>
              <w:left w:val="nil"/>
              <w:bottom w:val="single" w:sz="8" w:space="0" w:color="auto"/>
              <w:right w:val="single" w:sz="4" w:space="0" w:color="auto"/>
            </w:tcBorders>
            <w:shd w:val="clear" w:color="auto" w:fill="auto"/>
            <w:noWrap/>
            <w:vAlign w:val="bottom"/>
          </w:tcPr>
          <w:p w:rsidR="00904E99" w:rsidRPr="000316DE" w:rsidRDefault="00904E99" w:rsidP="00493C0A">
            <w:pPr>
              <w:spacing w:after="0" w:line="240" w:lineRule="auto"/>
              <w:rPr>
                <w:rFonts w:ascii="Arial" w:eastAsia="Times New Roman" w:hAnsi="Arial" w:cs="Arial"/>
                <w:sz w:val="18"/>
                <w:szCs w:val="18"/>
                <w:lang w:eastAsia="es-ES"/>
              </w:rPr>
            </w:pPr>
            <w:r w:rsidRPr="000316DE">
              <w:rPr>
                <w:rFonts w:ascii="Arial" w:eastAsia="Times New Roman" w:hAnsi="Arial" w:cs="Arial"/>
                <w:sz w:val="18"/>
                <w:szCs w:val="18"/>
                <w:lang w:eastAsia="es-ES"/>
              </w:rPr>
              <w:t>225</w:t>
            </w:r>
          </w:p>
        </w:tc>
        <w:tc>
          <w:tcPr>
            <w:tcW w:w="1126" w:type="dxa"/>
            <w:tcBorders>
              <w:top w:val="nil"/>
              <w:left w:val="nil"/>
              <w:bottom w:val="single" w:sz="8" w:space="0" w:color="auto"/>
              <w:right w:val="single" w:sz="4" w:space="0" w:color="auto"/>
            </w:tcBorders>
            <w:shd w:val="clear" w:color="auto" w:fill="auto"/>
            <w:noWrap/>
            <w:vAlign w:val="bottom"/>
          </w:tcPr>
          <w:p w:rsidR="00904E99" w:rsidRPr="000316DE" w:rsidRDefault="00904E99" w:rsidP="00493C0A">
            <w:pPr>
              <w:spacing w:after="0" w:line="240" w:lineRule="auto"/>
              <w:rPr>
                <w:rFonts w:ascii="Arial" w:eastAsia="Times New Roman" w:hAnsi="Arial" w:cs="Arial"/>
                <w:sz w:val="18"/>
                <w:szCs w:val="18"/>
                <w:lang w:eastAsia="es-ES"/>
              </w:rPr>
            </w:pPr>
            <w:r w:rsidRPr="000316DE">
              <w:rPr>
                <w:rFonts w:ascii="Arial" w:eastAsia="Times New Roman" w:hAnsi="Arial" w:cs="Arial"/>
                <w:sz w:val="18"/>
                <w:szCs w:val="18"/>
                <w:lang w:eastAsia="es-ES"/>
              </w:rPr>
              <w:t>100%</w:t>
            </w:r>
          </w:p>
        </w:tc>
        <w:tc>
          <w:tcPr>
            <w:tcW w:w="5174" w:type="dxa"/>
            <w:tcBorders>
              <w:top w:val="nil"/>
              <w:left w:val="nil"/>
              <w:bottom w:val="single" w:sz="8" w:space="0" w:color="auto"/>
              <w:right w:val="single" w:sz="8" w:space="0" w:color="auto"/>
            </w:tcBorders>
            <w:shd w:val="clear" w:color="auto" w:fill="auto"/>
            <w:noWrap/>
            <w:vAlign w:val="bottom"/>
            <w:hideMark/>
          </w:tcPr>
          <w:p w:rsidR="00904E99" w:rsidRPr="000316DE" w:rsidRDefault="00904E99" w:rsidP="00493C0A">
            <w:pPr>
              <w:spacing w:after="0" w:line="240" w:lineRule="auto"/>
              <w:rPr>
                <w:rFonts w:ascii="Arial" w:eastAsia="Times New Roman" w:hAnsi="Arial" w:cs="Arial"/>
                <w:sz w:val="18"/>
                <w:szCs w:val="18"/>
                <w:lang w:eastAsia="es-ES"/>
              </w:rPr>
            </w:pPr>
            <w:r w:rsidRPr="000316DE">
              <w:rPr>
                <w:rFonts w:ascii="Arial" w:eastAsia="Times New Roman" w:hAnsi="Arial" w:cs="Arial"/>
                <w:sz w:val="18"/>
                <w:szCs w:val="18"/>
                <w:lang w:eastAsia="es-ES"/>
              </w:rPr>
              <w:t> </w:t>
            </w:r>
          </w:p>
        </w:tc>
      </w:tr>
    </w:tbl>
    <w:p w:rsidR="00904E99" w:rsidRPr="00493C0A" w:rsidRDefault="00904E99" w:rsidP="00493C0A">
      <w:pPr>
        <w:spacing w:after="0" w:line="240" w:lineRule="auto"/>
        <w:rPr>
          <w:rFonts w:ascii="Arial" w:eastAsia="Times New Roman" w:hAnsi="Arial" w:cs="Arial"/>
          <w:b/>
          <w:sz w:val="20"/>
          <w:szCs w:val="20"/>
          <w:lang w:eastAsia="es-ES"/>
        </w:rPr>
      </w:pPr>
      <w:r w:rsidRPr="000316DE">
        <w:rPr>
          <w:rFonts w:ascii="Arial" w:eastAsia="Times New Roman" w:hAnsi="Arial" w:cs="Arial"/>
          <w:sz w:val="18"/>
          <w:szCs w:val="18"/>
          <w:lang w:eastAsia="es-ES"/>
        </w:rPr>
        <w:t>Fuente: Contraloría de Servicios, diciembre 2017.</w:t>
      </w:r>
      <w:r w:rsidRPr="000316DE">
        <w:rPr>
          <w:rFonts w:ascii="Arial" w:eastAsia="Times New Roman" w:hAnsi="Arial" w:cs="Arial"/>
          <w:b/>
          <w:sz w:val="18"/>
          <w:szCs w:val="18"/>
          <w:lang w:eastAsia="es-ES"/>
        </w:rPr>
        <w:fldChar w:fldCharType="begin"/>
      </w:r>
      <w:r w:rsidRPr="000316DE">
        <w:rPr>
          <w:rFonts w:ascii="Arial" w:eastAsia="Times New Roman" w:hAnsi="Arial" w:cs="Arial"/>
          <w:b/>
          <w:sz w:val="18"/>
          <w:szCs w:val="18"/>
          <w:lang w:eastAsia="es-ES"/>
        </w:rPr>
        <w:instrText xml:space="preserve"> LINK Excel.Sheet.12 "C:\\Users\\Mmartinez\\Documents\\Marta Martínez C\\Rendimiento de cuentas (año 2017)\\Rendimiento de Cuentas (Diciembre 2017)\\Gráficos\\Contraloría Inconformidades (Ene-dic 2017).xlsx!Hoja1![Contraloría Inconformidades (Ene-dic 2017).xlsx]Hoja1 3 Gráfi" "" \a \p \* MERGEFORMAT </w:instrText>
      </w:r>
      <w:r w:rsidRPr="000316DE">
        <w:rPr>
          <w:rFonts w:ascii="Arial" w:eastAsia="Times New Roman" w:hAnsi="Arial" w:cs="Arial"/>
          <w:b/>
          <w:sz w:val="18"/>
          <w:szCs w:val="18"/>
          <w:lang w:eastAsia="es-ES"/>
        </w:rPr>
        <w:fldChar w:fldCharType="separate"/>
      </w:r>
      <w:r w:rsidR="00C16C06">
        <w:rPr>
          <w:rFonts w:ascii="Arial" w:eastAsia="Times New Roman" w:hAnsi="Arial" w:cs="Arial"/>
          <w:b/>
          <w:sz w:val="18"/>
          <w:szCs w:val="18"/>
          <w:lang w:eastAsia="es-ES"/>
        </w:rPr>
        <w:object w:dxaOrig="9429" w:dyaOrig="5117">
          <v:shape id="_x0000_i1066" type="#_x0000_t75" style="width:345.85pt;height:187.75pt" o:ole="">
            <v:imagedata r:id="rId19" o:title=""/>
          </v:shape>
        </w:object>
      </w:r>
      <w:r w:rsidRPr="000316DE">
        <w:rPr>
          <w:rFonts w:ascii="Arial" w:eastAsia="Times New Roman" w:hAnsi="Arial" w:cs="Arial"/>
          <w:b/>
          <w:sz w:val="18"/>
          <w:szCs w:val="18"/>
          <w:lang w:eastAsia="es-ES"/>
        </w:rPr>
        <w:fldChar w:fldCharType="end"/>
      </w:r>
    </w:p>
    <w:p w:rsidR="00904E99" w:rsidRPr="000316DE" w:rsidRDefault="00904E99" w:rsidP="00493C0A">
      <w:pPr>
        <w:spacing w:after="0" w:line="240" w:lineRule="auto"/>
        <w:rPr>
          <w:rFonts w:ascii="Arial" w:eastAsia="Times New Roman" w:hAnsi="Arial" w:cs="Arial"/>
          <w:sz w:val="18"/>
          <w:szCs w:val="18"/>
          <w:lang w:eastAsia="es-ES"/>
        </w:rPr>
      </w:pPr>
      <w:r w:rsidRPr="000316DE">
        <w:rPr>
          <w:rFonts w:ascii="Arial" w:eastAsia="Times New Roman" w:hAnsi="Arial" w:cs="Arial"/>
          <w:sz w:val="18"/>
          <w:szCs w:val="18"/>
          <w:lang w:eastAsia="es-ES"/>
        </w:rPr>
        <w:t xml:space="preserve">                  Fuente: Informe de rendimiento de cuentas del área. (2017)</w:t>
      </w:r>
    </w:p>
    <w:p w:rsidR="00233ACA" w:rsidRDefault="00233ACA" w:rsidP="00493C0A">
      <w:pPr>
        <w:spacing w:after="0" w:line="240" w:lineRule="auto"/>
        <w:rPr>
          <w:rFonts w:ascii="Arial" w:eastAsia="Times New Roman" w:hAnsi="Arial" w:cs="Arial"/>
          <w:bCs/>
          <w:color w:val="000000"/>
          <w:sz w:val="20"/>
          <w:szCs w:val="20"/>
          <w:lang w:eastAsia="es-CR"/>
        </w:rPr>
      </w:pPr>
    </w:p>
    <w:p w:rsidR="00493C0A" w:rsidRPr="00493C0A" w:rsidRDefault="00493C0A" w:rsidP="00493C0A">
      <w:pPr>
        <w:spacing w:after="0" w:line="240" w:lineRule="auto"/>
        <w:rPr>
          <w:rFonts w:ascii="Arial" w:eastAsia="Times New Roman" w:hAnsi="Arial" w:cs="Arial"/>
          <w:bCs/>
          <w:color w:val="000000"/>
          <w:sz w:val="20"/>
          <w:szCs w:val="20"/>
          <w:lang w:eastAsia="es-CR"/>
        </w:rPr>
      </w:pPr>
      <w:r w:rsidRPr="00493C0A">
        <w:rPr>
          <w:rFonts w:ascii="Arial" w:eastAsia="Times New Roman" w:hAnsi="Arial" w:cs="Arial"/>
          <w:bCs/>
          <w:color w:val="000000"/>
          <w:sz w:val="20"/>
          <w:szCs w:val="20"/>
          <w:lang w:eastAsia="es-CR"/>
        </w:rPr>
        <w:lastRenderedPageBreak/>
        <w:t>Seguidamente se muestra un detalle de lo actuado:</w:t>
      </w:r>
    </w:p>
    <w:tbl>
      <w:tblPr>
        <w:tblW w:w="9103" w:type="dxa"/>
        <w:tblBorders>
          <w:insideH w:val="single" w:sz="6" w:space="0" w:color="000000"/>
          <w:insideV w:val="single" w:sz="6" w:space="0" w:color="000000"/>
        </w:tblBorders>
        <w:tblLook w:val="04A0" w:firstRow="1" w:lastRow="0" w:firstColumn="1" w:lastColumn="0" w:noHBand="0" w:noVBand="1"/>
      </w:tblPr>
      <w:tblGrid>
        <w:gridCol w:w="4293"/>
        <w:gridCol w:w="4810"/>
      </w:tblGrid>
      <w:tr w:rsidR="00493C0A" w:rsidRPr="00493C0A" w:rsidTr="00746DC0">
        <w:trPr>
          <w:trHeight w:val="270"/>
        </w:trPr>
        <w:tc>
          <w:tcPr>
            <w:tcW w:w="5000" w:type="pct"/>
            <w:gridSpan w:val="2"/>
            <w:shd w:val="clear" w:color="auto" w:fill="auto"/>
            <w:noWrap/>
            <w:hideMark/>
          </w:tcPr>
          <w:p w:rsidR="00493C0A" w:rsidRPr="00493C0A" w:rsidRDefault="00493C0A" w:rsidP="00493C0A">
            <w:pPr>
              <w:spacing w:after="0" w:line="240" w:lineRule="auto"/>
              <w:rPr>
                <w:rFonts w:ascii="Arial" w:eastAsia="Times New Roman" w:hAnsi="Arial" w:cs="Arial"/>
                <w:bCs/>
                <w:color w:val="000000"/>
                <w:sz w:val="20"/>
                <w:szCs w:val="20"/>
                <w:lang w:eastAsia="es-CR"/>
              </w:rPr>
            </w:pPr>
          </w:p>
          <w:p w:rsidR="00493C0A" w:rsidRPr="00744CE6" w:rsidRDefault="00493C0A" w:rsidP="00744CE6">
            <w:pPr>
              <w:spacing w:after="0" w:line="240" w:lineRule="auto"/>
              <w:jc w:val="center"/>
              <w:rPr>
                <w:rFonts w:ascii="Arial" w:eastAsia="Times New Roman" w:hAnsi="Arial" w:cs="Arial"/>
                <w:b/>
                <w:bCs/>
                <w:color w:val="000000"/>
                <w:sz w:val="20"/>
                <w:szCs w:val="20"/>
                <w:lang w:eastAsia="es-CR"/>
              </w:rPr>
            </w:pPr>
            <w:r w:rsidRPr="00744CE6">
              <w:rPr>
                <w:rFonts w:ascii="Arial" w:eastAsia="Times New Roman" w:hAnsi="Arial" w:cs="Arial"/>
                <w:b/>
                <w:bCs/>
                <w:color w:val="000000"/>
                <w:sz w:val="20"/>
                <w:szCs w:val="20"/>
                <w:lang w:eastAsia="es-CR"/>
              </w:rPr>
              <w:t>Tabla 8 Acciones Realizadas</w:t>
            </w:r>
          </w:p>
        </w:tc>
      </w:tr>
      <w:tr w:rsidR="00493C0A" w:rsidRPr="00493C0A" w:rsidTr="00746DC0">
        <w:trPr>
          <w:trHeight w:val="825"/>
        </w:trPr>
        <w:tc>
          <w:tcPr>
            <w:tcW w:w="2358" w:type="pct"/>
            <w:shd w:val="clear" w:color="auto" w:fill="auto"/>
            <w:hideMark/>
          </w:tcPr>
          <w:p w:rsidR="00493C0A" w:rsidRPr="00493C0A" w:rsidRDefault="00493C0A" w:rsidP="00493C0A">
            <w:pPr>
              <w:spacing w:after="0" w:line="240" w:lineRule="auto"/>
              <w:rPr>
                <w:rFonts w:ascii="Arial" w:eastAsia="Times New Roman" w:hAnsi="Arial" w:cs="Arial"/>
                <w:bCs/>
                <w:color w:val="000000"/>
                <w:sz w:val="20"/>
                <w:szCs w:val="20"/>
                <w:lang w:eastAsia="es-CR"/>
              </w:rPr>
            </w:pPr>
            <w:r w:rsidRPr="00493C0A">
              <w:rPr>
                <w:rFonts w:ascii="Arial" w:eastAsia="Times New Roman" w:hAnsi="Arial" w:cs="Arial"/>
                <w:bCs/>
                <w:color w:val="000000"/>
                <w:sz w:val="20"/>
                <w:szCs w:val="20"/>
                <w:lang w:eastAsia="es-CR"/>
              </w:rPr>
              <w:t>a) Actividades realizadas:</w:t>
            </w:r>
          </w:p>
        </w:tc>
        <w:tc>
          <w:tcPr>
            <w:tcW w:w="2642" w:type="pct"/>
            <w:shd w:val="clear" w:color="auto" w:fill="auto"/>
          </w:tcPr>
          <w:p w:rsidR="00493C0A" w:rsidRPr="00493C0A" w:rsidRDefault="00493C0A" w:rsidP="000F6162">
            <w:pPr>
              <w:spacing w:after="0" w:line="240" w:lineRule="auto"/>
              <w:jc w:val="both"/>
              <w:rPr>
                <w:rFonts w:ascii="Arial" w:eastAsia="Times New Roman" w:hAnsi="Arial" w:cs="Arial"/>
                <w:bCs/>
                <w:color w:val="000000"/>
                <w:sz w:val="20"/>
                <w:szCs w:val="20"/>
                <w:lang w:eastAsia="es-CR"/>
              </w:rPr>
            </w:pPr>
            <w:r w:rsidRPr="00493C0A">
              <w:rPr>
                <w:rFonts w:ascii="Arial" w:eastAsia="Times New Roman" w:hAnsi="Arial" w:cs="Arial"/>
                <w:bCs/>
                <w:color w:val="000000"/>
                <w:sz w:val="20"/>
                <w:szCs w:val="20"/>
                <w:lang w:eastAsia="es-CR"/>
              </w:rPr>
              <w:t>El procedimiento seguido para la atención de las inconformidades es el siguiente:</w:t>
            </w:r>
          </w:p>
          <w:p w:rsidR="00493C0A" w:rsidRPr="00493C0A" w:rsidRDefault="00493C0A" w:rsidP="000F6162">
            <w:pPr>
              <w:spacing w:after="0" w:line="240" w:lineRule="auto"/>
              <w:jc w:val="both"/>
              <w:rPr>
                <w:rFonts w:ascii="Arial" w:eastAsia="Times New Roman" w:hAnsi="Arial" w:cs="Arial"/>
                <w:bCs/>
                <w:color w:val="000000"/>
                <w:sz w:val="20"/>
                <w:szCs w:val="20"/>
                <w:lang w:eastAsia="es-CR"/>
              </w:rPr>
            </w:pPr>
            <w:r w:rsidRPr="00493C0A">
              <w:rPr>
                <w:rFonts w:ascii="Arial" w:eastAsia="Times New Roman" w:hAnsi="Arial" w:cs="Arial"/>
                <w:bCs/>
                <w:color w:val="000000"/>
                <w:sz w:val="20"/>
                <w:szCs w:val="20"/>
                <w:lang w:eastAsia="es-CR"/>
              </w:rPr>
              <w:t>- Recibir la inconformidad presentada por el usuario o cliente.</w:t>
            </w:r>
          </w:p>
          <w:p w:rsidR="00493C0A" w:rsidRPr="00493C0A" w:rsidRDefault="00493C0A" w:rsidP="000F6162">
            <w:pPr>
              <w:spacing w:after="0" w:line="240" w:lineRule="auto"/>
              <w:jc w:val="both"/>
              <w:rPr>
                <w:rFonts w:ascii="Arial" w:eastAsia="Times New Roman" w:hAnsi="Arial" w:cs="Arial"/>
                <w:bCs/>
                <w:color w:val="000000"/>
                <w:sz w:val="20"/>
                <w:szCs w:val="20"/>
                <w:lang w:eastAsia="es-CR"/>
              </w:rPr>
            </w:pPr>
            <w:r w:rsidRPr="00493C0A">
              <w:rPr>
                <w:rFonts w:ascii="Arial" w:eastAsia="Times New Roman" w:hAnsi="Arial" w:cs="Arial"/>
                <w:bCs/>
                <w:color w:val="000000"/>
                <w:sz w:val="20"/>
                <w:szCs w:val="20"/>
                <w:lang w:eastAsia="es-CR"/>
              </w:rPr>
              <w:t>- Clasificar y documentar la inconformidad, en el registro anual.</w:t>
            </w:r>
          </w:p>
          <w:p w:rsidR="00493C0A" w:rsidRPr="00493C0A" w:rsidRDefault="00493C0A" w:rsidP="000F6162">
            <w:pPr>
              <w:spacing w:after="0" w:line="240" w:lineRule="auto"/>
              <w:jc w:val="both"/>
              <w:rPr>
                <w:rFonts w:ascii="Arial" w:eastAsia="Times New Roman" w:hAnsi="Arial" w:cs="Arial"/>
                <w:bCs/>
                <w:color w:val="000000"/>
                <w:sz w:val="20"/>
                <w:szCs w:val="20"/>
                <w:lang w:eastAsia="es-CR"/>
              </w:rPr>
            </w:pPr>
            <w:r w:rsidRPr="00493C0A">
              <w:rPr>
                <w:rFonts w:ascii="Arial" w:eastAsia="Times New Roman" w:hAnsi="Arial" w:cs="Arial"/>
                <w:bCs/>
                <w:color w:val="000000"/>
                <w:sz w:val="20"/>
                <w:szCs w:val="20"/>
                <w:lang w:eastAsia="es-CR"/>
              </w:rPr>
              <w:t>- Estudiar el reclamo (si se requiere).</w:t>
            </w:r>
          </w:p>
          <w:p w:rsidR="00493C0A" w:rsidRPr="00493C0A" w:rsidRDefault="00493C0A" w:rsidP="000F6162">
            <w:pPr>
              <w:spacing w:after="0" w:line="240" w:lineRule="auto"/>
              <w:jc w:val="both"/>
              <w:rPr>
                <w:rFonts w:ascii="Arial" w:eastAsia="Times New Roman" w:hAnsi="Arial" w:cs="Arial"/>
                <w:bCs/>
                <w:color w:val="000000"/>
                <w:sz w:val="20"/>
                <w:szCs w:val="20"/>
                <w:lang w:eastAsia="es-CR"/>
              </w:rPr>
            </w:pPr>
            <w:r w:rsidRPr="00493C0A">
              <w:rPr>
                <w:rFonts w:ascii="Arial" w:eastAsia="Times New Roman" w:hAnsi="Arial" w:cs="Arial"/>
                <w:bCs/>
                <w:color w:val="000000"/>
                <w:sz w:val="20"/>
                <w:szCs w:val="20"/>
                <w:lang w:eastAsia="es-CR"/>
              </w:rPr>
              <w:t>- Remitir a la Unidad responsable para su atención.</w:t>
            </w:r>
          </w:p>
          <w:p w:rsidR="00493C0A" w:rsidRPr="00493C0A" w:rsidRDefault="00493C0A" w:rsidP="000F6162">
            <w:pPr>
              <w:spacing w:after="0" w:line="240" w:lineRule="auto"/>
              <w:jc w:val="both"/>
              <w:rPr>
                <w:rFonts w:ascii="Arial" w:eastAsia="Times New Roman" w:hAnsi="Arial" w:cs="Arial"/>
                <w:bCs/>
                <w:color w:val="000000"/>
                <w:sz w:val="20"/>
                <w:szCs w:val="20"/>
                <w:lang w:eastAsia="es-CR"/>
              </w:rPr>
            </w:pPr>
            <w:r w:rsidRPr="00493C0A">
              <w:rPr>
                <w:rFonts w:ascii="Arial" w:eastAsia="Times New Roman" w:hAnsi="Arial" w:cs="Arial"/>
                <w:bCs/>
                <w:color w:val="000000"/>
                <w:sz w:val="20"/>
                <w:szCs w:val="20"/>
                <w:lang w:eastAsia="es-CR"/>
              </w:rPr>
              <w:t>- Coordinar con las diferentes áreas.</w:t>
            </w:r>
          </w:p>
          <w:p w:rsidR="00493C0A" w:rsidRPr="00493C0A" w:rsidRDefault="00493C0A" w:rsidP="000F6162">
            <w:pPr>
              <w:spacing w:after="0" w:line="240" w:lineRule="auto"/>
              <w:jc w:val="both"/>
              <w:rPr>
                <w:rFonts w:ascii="Arial" w:eastAsia="Times New Roman" w:hAnsi="Arial" w:cs="Arial"/>
                <w:bCs/>
                <w:color w:val="000000"/>
                <w:sz w:val="20"/>
                <w:szCs w:val="20"/>
                <w:lang w:eastAsia="es-CR"/>
              </w:rPr>
            </w:pPr>
            <w:r w:rsidRPr="00493C0A">
              <w:rPr>
                <w:rFonts w:ascii="Arial" w:eastAsia="Times New Roman" w:hAnsi="Arial" w:cs="Arial"/>
                <w:bCs/>
                <w:color w:val="000000"/>
                <w:sz w:val="20"/>
                <w:szCs w:val="20"/>
                <w:lang w:eastAsia="es-CR"/>
              </w:rPr>
              <w:t>- Dar seguimiento a la gestión por parte de la Unidad responsable.</w:t>
            </w:r>
          </w:p>
          <w:p w:rsidR="00493C0A" w:rsidRPr="00493C0A" w:rsidRDefault="00493C0A" w:rsidP="000F6162">
            <w:pPr>
              <w:spacing w:after="0" w:line="240" w:lineRule="auto"/>
              <w:jc w:val="both"/>
              <w:rPr>
                <w:rFonts w:ascii="Arial" w:eastAsia="Times New Roman" w:hAnsi="Arial" w:cs="Arial"/>
                <w:bCs/>
                <w:color w:val="000000"/>
                <w:sz w:val="20"/>
                <w:szCs w:val="20"/>
                <w:lang w:eastAsia="es-CR"/>
              </w:rPr>
            </w:pPr>
            <w:r w:rsidRPr="00493C0A">
              <w:rPr>
                <w:rFonts w:ascii="Arial" w:eastAsia="Times New Roman" w:hAnsi="Arial" w:cs="Arial"/>
                <w:bCs/>
                <w:color w:val="000000"/>
                <w:sz w:val="20"/>
                <w:szCs w:val="20"/>
                <w:lang w:eastAsia="es-CR"/>
              </w:rPr>
              <w:t xml:space="preserve">- Obtener la respuesta y notificación al interesado. </w:t>
            </w:r>
          </w:p>
          <w:p w:rsidR="00493C0A" w:rsidRPr="00493C0A" w:rsidRDefault="00493C0A" w:rsidP="000F6162">
            <w:pPr>
              <w:spacing w:after="0" w:line="240" w:lineRule="auto"/>
              <w:jc w:val="both"/>
              <w:rPr>
                <w:rFonts w:ascii="Arial" w:eastAsia="Times New Roman" w:hAnsi="Arial" w:cs="Arial"/>
                <w:bCs/>
                <w:color w:val="000000"/>
                <w:sz w:val="20"/>
                <w:szCs w:val="20"/>
                <w:lang w:eastAsia="es-CR"/>
              </w:rPr>
            </w:pPr>
            <w:r w:rsidRPr="00493C0A">
              <w:rPr>
                <w:rFonts w:ascii="Arial" w:eastAsia="Times New Roman" w:hAnsi="Arial" w:cs="Arial"/>
                <w:bCs/>
                <w:color w:val="000000"/>
                <w:sz w:val="20"/>
                <w:szCs w:val="20"/>
                <w:lang w:eastAsia="es-CR"/>
              </w:rPr>
              <w:t>- Remitir a la Gerencia General de los casos no atendidos en plazo.</w:t>
            </w:r>
          </w:p>
          <w:p w:rsidR="00493C0A" w:rsidRPr="00493C0A" w:rsidRDefault="00493C0A" w:rsidP="000F6162">
            <w:pPr>
              <w:spacing w:after="0" w:line="240" w:lineRule="auto"/>
              <w:jc w:val="both"/>
              <w:rPr>
                <w:rFonts w:ascii="Arial" w:eastAsia="Times New Roman" w:hAnsi="Arial" w:cs="Arial"/>
                <w:bCs/>
                <w:color w:val="000000"/>
                <w:sz w:val="20"/>
                <w:szCs w:val="20"/>
                <w:lang w:eastAsia="es-CR"/>
              </w:rPr>
            </w:pPr>
            <w:r w:rsidRPr="00493C0A">
              <w:rPr>
                <w:rFonts w:ascii="Arial" w:eastAsia="Times New Roman" w:hAnsi="Arial" w:cs="Arial"/>
                <w:bCs/>
                <w:color w:val="000000"/>
                <w:sz w:val="20"/>
                <w:szCs w:val="20"/>
                <w:lang w:eastAsia="es-CR"/>
              </w:rPr>
              <w:t xml:space="preserve">- Enviar el informe (trimestral) sobre atención de casos y recomendaciones a la Gerencia y áreas involucradas.   </w:t>
            </w:r>
          </w:p>
          <w:p w:rsidR="00493C0A" w:rsidRPr="00493C0A" w:rsidRDefault="00493C0A" w:rsidP="000F6162">
            <w:pPr>
              <w:spacing w:after="0" w:line="240" w:lineRule="auto"/>
              <w:jc w:val="both"/>
              <w:rPr>
                <w:rFonts w:ascii="Arial" w:eastAsia="Times New Roman" w:hAnsi="Arial" w:cs="Arial"/>
                <w:bCs/>
                <w:color w:val="000000"/>
                <w:sz w:val="20"/>
                <w:szCs w:val="20"/>
                <w:lang w:eastAsia="es-CR"/>
              </w:rPr>
            </w:pPr>
            <w:r w:rsidRPr="00493C0A">
              <w:rPr>
                <w:rFonts w:ascii="Arial" w:eastAsia="Times New Roman" w:hAnsi="Arial" w:cs="Arial"/>
                <w:bCs/>
                <w:color w:val="000000"/>
                <w:sz w:val="20"/>
                <w:szCs w:val="20"/>
                <w:lang w:eastAsia="es-CR"/>
              </w:rPr>
              <w:t xml:space="preserve">- Archivar la documentación en el archivo de gestión.  </w:t>
            </w:r>
          </w:p>
          <w:p w:rsidR="00493C0A" w:rsidRPr="00493C0A" w:rsidRDefault="00493C0A" w:rsidP="000F6162">
            <w:pPr>
              <w:spacing w:after="0" w:line="240" w:lineRule="auto"/>
              <w:jc w:val="both"/>
              <w:rPr>
                <w:rFonts w:ascii="Arial" w:eastAsia="Times New Roman" w:hAnsi="Arial" w:cs="Arial"/>
                <w:bCs/>
                <w:color w:val="000000"/>
                <w:sz w:val="20"/>
                <w:szCs w:val="20"/>
                <w:lang w:eastAsia="es-CR"/>
              </w:rPr>
            </w:pPr>
          </w:p>
        </w:tc>
      </w:tr>
      <w:tr w:rsidR="00493C0A" w:rsidRPr="00493C0A" w:rsidTr="00746DC0">
        <w:trPr>
          <w:trHeight w:val="705"/>
        </w:trPr>
        <w:tc>
          <w:tcPr>
            <w:tcW w:w="2358" w:type="pct"/>
            <w:shd w:val="clear" w:color="auto" w:fill="auto"/>
            <w:hideMark/>
          </w:tcPr>
          <w:p w:rsidR="00493C0A" w:rsidRPr="00493C0A" w:rsidRDefault="00493C0A" w:rsidP="00493C0A">
            <w:pPr>
              <w:spacing w:after="0" w:line="240" w:lineRule="auto"/>
              <w:rPr>
                <w:rFonts w:ascii="Arial" w:eastAsia="Times New Roman" w:hAnsi="Arial" w:cs="Arial"/>
                <w:bCs/>
                <w:color w:val="000000"/>
                <w:sz w:val="20"/>
                <w:szCs w:val="20"/>
                <w:lang w:eastAsia="es-CR"/>
              </w:rPr>
            </w:pPr>
            <w:r w:rsidRPr="00493C0A">
              <w:rPr>
                <w:rFonts w:ascii="Arial" w:eastAsia="Times New Roman" w:hAnsi="Arial" w:cs="Arial"/>
                <w:bCs/>
                <w:color w:val="000000"/>
                <w:sz w:val="20"/>
                <w:szCs w:val="20"/>
                <w:lang w:eastAsia="es-CR"/>
              </w:rPr>
              <w:t xml:space="preserve">b) Limitaciones: </w:t>
            </w:r>
          </w:p>
          <w:p w:rsidR="00493C0A" w:rsidRPr="00493C0A" w:rsidRDefault="00493C0A" w:rsidP="00493C0A">
            <w:pPr>
              <w:spacing w:after="0" w:line="240" w:lineRule="auto"/>
              <w:rPr>
                <w:rFonts w:ascii="Arial" w:eastAsia="Times New Roman" w:hAnsi="Arial" w:cs="Arial"/>
                <w:bCs/>
                <w:color w:val="000000"/>
                <w:sz w:val="20"/>
                <w:szCs w:val="20"/>
                <w:lang w:eastAsia="es-CR"/>
              </w:rPr>
            </w:pPr>
          </w:p>
          <w:p w:rsidR="00493C0A" w:rsidRPr="00493C0A" w:rsidRDefault="00493C0A" w:rsidP="00493C0A">
            <w:pPr>
              <w:spacing w:after="0" w:line="240" w:lineRule="auto"/>
              <w:rPr>
                <w:rFonts w:ascii="Arial" w:eastAsia="Times New Roman" w:hAnsi="Arial" w:cs="Arial"/>
                <w:bCs/>
                <w:color w:val="000000"/>
                <w:sz w:val="20"/>
                <w:szCs w:val="20"/>
                <w:lang w:eastAsia="es-CR"/>
              </w:rPr>
            </w:pPr>
          </w:p>
        </w:tc>
        <w:tc>
          <w:tcPr>
            <w:tcW w:w="2642" w:type="pct"/>
            <w:shd w:val="clear" w:color="auto" w:fill="auto"/>
          </w:tcPr>
          <w:p w:rsidR="00493C0A" w:rsidRPr="00493C0A" w:rsidRDefault="00493C0A" w:rsidP="000F6162">
            <w:pPr>
              <w:spacing w:after="0" w:line="240" w:lineRule="auto"/>
              <w:jc w:val="both"/>
              <w:rPr>
                <w:rFonts w:ascii="Arial" w:eastAsia="Times New Roman" w:hAnsi="Arial" w:cs="Arial"/>
                <w:bCs/>
                <w:color w:val="000000"/>
                <w:sz w:val="20"/>
                <w:szCs w:val="20"/>
                <w:lang w:eastAsia="es-CR"/>
              </w:rPr>
            </w:pPr>
            <w:r w:rsidRPr="00493C0A">
              <w:rPr>
                <w:rFonts w:ascii="Arial" w:eastAsia="Times New Roman" w:hAnsi="Arial" w:cs="Arial"/>
                <w:bCs/>
                <w:color w:val="000000"/>
                <w:sz w:val="20"/>
                <w:szCs w:val="20"/>
                <w:lang w:eastAsia="es-CR"/>
              </w:rPr>
              <w:t>Falta de respuesta y/o trámite lento de la inconformidad, por parte de las unidades responsables.</w:t>
            </w:r>
          </w:p>
          <w:p w:rsidR="00493C0A" w:rsidRPr="00493C0A" w:rsidRDefault="00493C0A" w:rsidP="000F6162">
            <w:pPr>
              <w:spacing w:after="0" w:line="240" w:lineRule="auto"/>
              <w:jc w:val="both"/>
              <w:rPr>
                <w:rFonts w:ascii="Arial" w:eastAsia="Times New Roman" w:hAnsi="Arial" w:cs="Arial"/>
                <w:bCs/>
                <w:color w:val="000000"/>
                <w:sz w:val="20"/>
                <w:szCs w:val="20"/>
                <w:lang w:eastAsia="es-CR"/>
              </w:rPr>
            </w:pPr>
            <w:r w:rsidRPr="00493C0A">
              <w:rPr>
                <w:rFonts w:ascii="Arial" w:eastAsia="Times New Roman" w:hAnsi="Arial" w:cs="Arial"/>
                <w:bCs/>
                <w:color w:val="000000"/>
                <w:sz w:val="20"/>
                <w:szCs w:val="20"/>
                <w:lang w:eastAsia="es-CR"/>
              </w:rPr>
              <w:t>- Falta de personal en la Contraloría de Servicios, porque actualmente es unipersonal.</w:t>
            </w:r>
          </w:p>
          <w:p w:rsidR="00493C0A" w:rsidRPr="00493C0A" w:rsidRDefault="00493C0A" w:rsidP="000F6162">
            <w:pPr>
              <w:spacing w:after="0" w:line="240" w:lineRule="auto"/>
              <w:jc w:val="both"/>
              <w:rPr>
                <w:rFonts w:ascii="Arial" w:eastAsia="Times New Roman" w:hAnsi="Arial" w:cs="Arial"/>
                <w:bCs/>
                <w:color w:val="000000"/>
                <w:sz w:val="20"/>
                <w:szCs w:val="20"/>
                <w:lang w:eastAsia="es-CR"/>
              </w:rPr>
            </w:pPr>
          </w:p>
        </w:tc>
      </w:tr>
      <w:tr w:rsidR="00493C0A" w:rsidRPr="00493C0A" w:rsidTr="00746DC0">
        <w:trPr>
          <w:trHeight w:val="471"/>
        </w:trPr>
        <w:tc>
          <w:tcPr>
            <w:tcW w:w="2358" w:type="pct"/>
            <w:shd w:val="clear" w:color="auto" w:fill="auto"/>
            <w:hideMark/>
          </w:tcPr>
          <w:p w:rsidR="00493C0A" w:rsidRPr="00493C0A" w:rsidRDefault="00493C0A" w:rsidP="00493C0A">
            <w:pPr>
              <w:spacing w:after="0" w:line="240" w:lineRule="auto"/>
              <w:rPr>
                <w:rFonts w:ascii="Arial" w:eastAsia="Times New Roman" w:hAnsi="Arial" w:cs="Arial"/>
                <w:bCs/>
                <w:color w:val="000000"/>
                <w:sz w:val="20"/>
                <w:szCs w:val="20"/>
                <w:lang w:eastAsia="es-CR"/>
              </w:rPr>
            </w:pPr>
            <w:r w:rsidRPr="00493C0A">
              <w:rPr>
                <w:rFonts w:ascii="Arial" w:eastAsia="Times New Roman" w:hAnsi="Arial" w:cs="Arial"/>
                <w:bCs/>
                <w:color w:val="000000"/>
                <w:sz w:val="20"/>
                <w:szCs w:val="20"/>
                <w:lang w:eastAsia="es-CR"/>
              </w:rPr>
              <w:t>c) Medidas correctivas o acciones de mejora (realizadas y por realizar) para el logro de la meta:</w:t>
            </w:r>
          </w:p>
          <w:p w:rsidR="00493C0A" w:rsidRPr="00493C0A" w:rsidRDefault="00493C0A" w:rsidP="00493C0A">
            <w:pPr>
              <w:spacing w:after="0" w:line="240" w:lineRule="auto"/>
              <w:rPr>
                <w:rFonts w:ascii="Arial" w:eastAsia="Times New Roman" w:hAnsi="Arial" w:cs="Arial"/>
                <w:bCs/>
                <w:color w:val="000000"/>
                <w:sz w:val="20"/>
                <w:szCs w:val="20"/>
                <w:lang w:eastAsia="es-CR"/>
              </w:rPr>
            </w:pPr>
          </w:p>
          <w:p w:rsidR="00493C0A" w:rsidRPr="00493C0A" w:rsidRDefault="00493C0A" w:rsidP="00493C0A">
            <w:pPr>
              <w:spacing w:after="0" w:line="240" w:lineRule="auto"/>
              <w:rPr>
                <w:rFonts w:ascii="Arial" w:eastAsia="Times New Roman" w:hAnsi="Arial" w:cs="Arial"/>
                <w:bCs/>
                <w:color w:val="000000"/>
                <w:sz w:val="20"/>
                <w:szCs w:val="20"/>
                <w:lang w:eastAsia="es-CR"/>
              </w:rPr>
            </w:pPr>
          </w:p>
        </w:tc>
        <w:tc>
          <w:tcPr>
            <w:tcW w:w="2642" w:type="pct"/>
            <w:shd w:val="clear" w:color="auto" w:fill="auto"/>
          </w:tcPr>
          <w:p w:rsidR="00493C0A" w:rsidRPr="00493C0A" w:rsidRDefault="00493C0A" w:rsidP="000F6162">
            <w:pPr>
              <w:spacing w:after="0" w:line="240" w:lineRule="auto"/>
              <w:jc w:val="both"/>
              <w:rPr>
                <w:rFonts w:ascii="Arial" w:eastAsia="Times New Roman" w:hAnsi="Arial" w:cs="Arial"/>
                <w:bCs/>
                <w:color w:val="000000"/>
                <w:sz w:val="20"/>
                <w:szCs w:val="20"/>
                <w:lang w:eastAsia="es-CR"/>
              </w:rPr>
            </w:pPr>
            <w:r w:rsidRPr="00493C0A">
              <w:rPr>
                <w:rFonts w:ascii="Arial" w:eastAsia="Times New Roman" w:hAnsi="Arial" w:cs="Arial"/>
                <w:bCs/>
                <w:color w:val="000000"/>
                <w:sz w:val="20"/>
                <w:szCs w:val="20"/>
                <w:lang w:eastAsia="es-CR"/>
              </w:rPr>
              <w:t>- En proceso la actualización del Manual de Atención al Público, con el fin de brindar un mejor servicio.</w:t>
            </w:r>
          </w:p>
          <w:p w:rsidR="00493C0A" w:rsidRPr="00493C0A" w:rsidRDefault="00493C0A" w:rsidP="000F6162">
            <w:pPr>
              <w:spacing w:after="0" w:line="240" w:lineRule="auto"/>
              <w:jc w:val="both"/>
              <w:rPr>
                <w:rFonts w:ascii="Arial" w:eastAsia="Times New Roman" w:hAnsi="Arial" w:cs="Arial"/>
                <w:bCs/>
                <w:color w:val="000000"/>
                <w:sz w:val="20"/>
                <w:szCs w:val="20"/>
                <w:lang w:eastAsia="es-CR"/>
              </w:rPr>
            </w:pPr>
            <w:r w:rsidRPr="00493C0A">
              <w:rPr>
                <w:rFonts w:ascii="Arial" w:eastAsia="Times New Roman" w:hAnsi="Arial" w:cs="Arial"/>
                <w:bCs/>
                <w:color w:val="000000"/>
                <w:sz w:val="20"/>
                <w:szCs w:val="20"/>
                <w:lang w:eastAsia="es-CR"/>
              </w:rPr>
              <w:t xml:space="preserve">- Se realizaron mejoras en el formulario Recepción de inconformidades y denuncias, con el objetivo de </w:t>
            </w:r>
            <w:r w:rsidRPr="00493C0A">
              <w:rPr>
                <w:rFonts w:ascii="Arial" w:eastAsia="Times New Roman" w:hAnsi="Arial" w:cs="Arial"/>
                <w:bCs/>
                <w:color w:val="000000"/>
                <w:sz w:val="20"/>
                <w:szCs w:val="20"/>
                <w:lang w:eastAsia="es-CR"/>
              </w:rPr>
              <w:br/>
              <w:t xml:space="preserve">obtener más detalles de los casos, para canalizar mejor las inconformidades y denuncias a las áreas correspondientes. </w:t>
            </w:r>
          </w:p>
          <w:p w:rsidR="00493C0A" w:rsidRPr="00493C0A" w:rsidRDefault="00493C0A" w:rsidP="000F6162">
            <w:pPr>
              <w:spacing w:after="0" w:line="240" w:lineRule="auto"/>
              <w:jc w:val="both"/>
              <w:rPr>
                <w:rFonts w:ascii="Arial" w:eastAsia="Times New Roman" w:hAnsi="Arial" w:cs="Arial"/>
                <w:bCs/>
                <w:color w:val="000000"/>
                <w:sz w:val="20"/>
                <w:szCs w:val="20"/>
                <w:lang w:eastAsia="es-CR"/>
              </w:rPr>
            </w:pPr>
            <w:r w:rsidRPr="00493C0A">
              <w:rPr>
                <w:rFonts w:ascii="Arial" w:eastAsia="Times New Roman" w:hAnsi="Arial" w:cs="Arial"/>
                <w:bCs/>
                <w:color w:val="000000"/>
                <w:sz w:val="20"/>
                <w:szCs w:val="20"/>
                <w:lang w:eastAsia="es-CR"/>
              </w:rPr>
              <w:t>- Se coordinó con el Consejo Nacional de la Persona Adulta Mayor (CONAPAM) una capacitación, para mejorar  la atención a los usuarios. Dicha capacitación se espera realizar en el IV trimestre.</w:t>
            </w:r>
          </w:p>
          <w:p w:rsidR="00493C0A" w:rsidRPr="00493C0A" w:rsidRDefault="00493C0A" w:rsidP="000F6162">
            <w:pPr>
              <w:spacing w:after="0" w:line="240" w:lineRule="auto"/>
              <w:jc w:val="both"/>
              <w:rPr>
                <w:rFonts w:ascii="Arial" w:eastAsia="Times New Roman" w:hAnsi="Arial" w:cs="Arial"/>
                <w:bCs/>
                <w:color w:val="000000"/>
                <w:sz w:val="20"/>
                <w:szCs w:val="20"/>
                <w:lang w:eastAsia="es-CR"/>
              </w:rPr>
            </w:pPr>
            <w:r w:rsidRPr="00493C0A">
              <w:rPr>
                <w:rFonts w:ascii="Arial" w:eastAsia="Times New Roman" w:hAnsi="Arial" w:cs="Arial"/>
                <w:bCs/>
                <w:color w:val="000000"/>
                <w:sz w:val="20"/>
                <w:szCs w:val="20"/>
                <w:lang w:eastAsia="es-CR"/>
              </w:rPr>
              <w:t xml:space="preserve">- En proceso de revisión el Reglamento interno de la Contraloría de Servicios, por parte de la Junta Directiva y la Comisión de Control Interno.  </w:t>
            </w:r>
          </w:p>
          <w:p w:rsidR="00493C0A" w:rsidRPr="00493C0A" w:rsidRDefault="00493C0A" w:rsidP="000F6162">
            <w:pPr>
              <w:spacing w:after="0" w:line="240" w:lineRule="auto"/>
              <w:jc w:val="both"/>
              <w:rPr>
                <w:rFonts w:ascii="Arial" w:eastAsia="Times New Roman" w:hAnsi="Arial" w:cs="Arial"/>
                <w:bCs/>
                <w:color w:val="000000"/>
                <w:sz w:val="20"/>
                <w:szCs w:val="20"/>
                <w:lang w:eastAsia="es-CR"/>
              </w:rPr>
            </w:pPr>
          </w:p>
        </w:tc>
      </w:tr>
      <w:tr w:rsidR="00493C0A" w:rsidRPr="00493C0A" w:rsidTr="00746DC0">
        <w:trPr>
          <w:trHeight w:val="850"/>
        </w:trPr>
        <w:tc>
          <w:tcPr>
            <w:tcW w:w="2358" w:type="pct"/>
            <w:shd w:val="clear" w:color="auto" w:fill="auto"/>
          </w:tcPr>
          <w:p w:rsidR="00493C0A" w:rsidRPr="00493C0A" w:rsidRDefault="00493C0A" w:rsidP="00493C0A">
            <w:pPr>
              <w:spacing w:after="0" w:line="240" w:lineRule="auto"/>
              <w:rPr>
                <w:rFonts w:ascii="Arial" w:eastAsia="Times New Roman" w:hAnsi="Arial" w:cs="Arial"/>
                <w:bCs/>
                <w:color w:val="000000"/>
                <w:sz w:val="20"/>
                <w:szCs w:val="20"/>
                <w:lang w:eastAsia="es-CR"/>
              </w:rPr>
            </w:pPr>
            <w:r w:rsidRPr="00493C0A">
              <w:rPr>
                <w:rFonts w:ascii="Arial" w:eastAsia="Times New Roman" w:hAnsi="Arial" w:cs="Arial"/>
                <w:bCs/>
                <w:color w:val="000000"/>
                <w:sz w:val="20"/>
                <w:szCs w:val="20"/>
                <w:lang w:eastAsia="es-CR"/>
              </w:rPr>
              <w:t>Observaciones:</w:t>
            </w:r>
          </w:p>
        </w:tc>
        <w:tc>
          <w:tcPr>
            <w:tcW w:w="2642" w:type="pct"/>
            <w:shd w:val="clear" w:color="auto" w:fill="auto"/>
          </w:tcPr>
          <w:p w:rsidR="00493C0A" w:rsidRPr="00493C0A" w:rsidRDefault="00493C0A" w:rsidP="000F6162">
            <w:pPr>
              <w:spacing w:after="0" w:line="240" w:lineRule="auto"/>
              <w:jc w:val="both"/>
              <w:rPr>
                <w:rFonts w:ascii="Arial" w:eastAsia="Times New Roman" w:hAnsi="Arial" w:cs="Arial"/>
                <w:bCs/>
                <w:color w:val="000000"/>
                <w:sz w:val="20"/>
                <w:szCs w:val="20"/>
                <w:lang w:eastAsia="es-CR"/>
              </w:rPr>
            </w:pPr>
            <w:r w:rsidRPr="00493C0A">
              <w:rPr>
                <w:rFonts w:ascii="Arial" w:eastAsia="Times New Roman" w:hAnsi="Arial" w:cs="Arial"/>
                <w:bCs/>
                <w:color w:val="000000"/>
                <w:sz w:val="20"/>
                <w:szCs w:val="20"/>
                <w:lang w:eastAsia="es-CR"/>
              </w:rPr>
              <w:t xml:space="preserve">La Contraloría de Servicios participa en dos comisiones, a saber: </w:t>
            </w:r>
          </w:p>
          <w:p w:rsidR="00493C0A" w:rsidRPr="00493C0A" w:rsidRDefault="00493C0A" w:rsidP="000F6162">
            <w:pPr>
              <w:spacing w:after="0" w:line="240" w:lineRule="auto"/>
              <w:jc w:val="both"/>
              <w:rPr>
                <w:rFonts w:ascii="Arial" w:eastAsia="Times New Roman" w:hAnsi="Arial" w:cs="Arial"/>
                <w:bCs/>
                <w:color w:val="000000"/>
                <w:sz w:val="20"/>
                <w:szCs w:val="20"/>
                <w:lang w:eastAsia="es-CR"/>
              </w:rPr>
            </w:pPr>
            <w:r w:rsidRPr="00493C0A">
              <w:rPr>
                <w:rFonts w:ascii="Arial" w:eastAsia="Times New Roman" w:hAnsi="Arial" w:cs="Arial"/>
                <w:bCs/>
                <w:color w:val="000000"/>
                <w:sz w:val="20"/>
                <w:szCs w:val="20"/>
                <w:lang w:eastAsia="es-CR"/>
              </w:rPr>
              <w:t>a) Comisión de Mejora Regulatoria Institucional</w:t>
            </w:r>
          </w:p>
          <w:p w:rsidR="00493C0A" w:rsidRPr="00493C0A" w:rsidRDefault="00493C0A" w:rsidP="000F6162">
            <w:pPr>
              <w:spacing w:after="0" w:line="240" w:lineRule="auto"/>
              <w:jc w:val="both"/>
              <w:rPr>
                <w:rFonts w:ascii="Arial" w:eastAsia="Times New Roman" w:hAnsi="Arial" w:cs="Arial"/>
                <w:bCs/>
                <w:color w:val="000000"/>
                <w:sz w:val="20"/>
                <w:szCs w:val="20"/>
                <w:lang w:eastAsia="es-CR"/>
              </w:rPr>
            </w:pPr>
            <w:r w:rsidRPr="00493C0A">
              <w:rPr>
                <w:rFonts w:ascii="Arial" w:eastAsia="Times New Roman" w:hAnsi="Arial" w:cs="Arial"/>
                <w:bCs/>
                <w:color w:val="000000"/>
                <w:sz w:val="20"/>
                <w:szCs w:val="20"/>
                <w:lang w:eastAsia="es-CR"/>
              </w:rPr>
              <w:t>Entre las actividades realizadas se pueden mencionar:</w:t>
            </w:r>
          </w:p>
          <w:p w:rsidR="00493C0A" w:rsidRPr="00493C0A" w:rsidRDefault="00493C0A" w:rsidP="000F6162">
            <w:pPr>
              <w:spacing w:after="0" w:line="240" w:lineRule="auto"/>
              <w:jc w:val="both"/>
              <w:rPr>
                <w:rFonts w:ascii="Arial" w:eastAsia="Times New Roman" w:hAnsi="Arial" w:cs="Arial"/>
                <w:bCs/>
                <w:color w:val="000000"/>
                <w:sz w:val="20"/>
                <w:szCs w:val="20"/>
                <w:lang w:eastAsia="es-CR"/>
              </w:rPr>
            </w:pPr>
            <w:r w:rsidRPr="00493C0A">
              <w:rPr>
                <w:rFonts w:ascii="Arial" w:eastAsia="Times New Roman" w:hAnsi="Arial" w:cs="Arial"/>
                <w:bCs/>
                <w:color w:val="000000"/>
                <w:sz w:val="20"/>
                <w:szCs w:val="20"/>
                <w:lang w:eastAsia="es-CR"/>
              </w:rPr>
              <w:lastRenderedPageBreak/>
              <w:t xml:space="preserve">1) Elaboración y seguimiento de Planes de Mejora Regulatoria, con el objetivo de simplificar los trámites que brinda la Institución al usuario. </w:t>
            </w:r>
          </w:p>
          <w:p w:rsidR="00493C0A" w:rsidRPr="00493C0A" w:rsidRDefault="00493C0A" w:rsidP="000F6162">
            <w:pPr>
              <w:spacing w:after="0" w:line="240" w:lineRule="auto"/>
              <w:jc w:val="both"/>
              <w:rPr>
                <w:rFonts w:ascii="Arial" w:eastAsia="Times New Roman" w:hAnsi="Arial" w:cs="Arial"/>
                <w:bCs/>
                <w:color w:val="000000"/>
                <w:sz w:val="20"/>
                <w:szCs w:val="20"/>
                <w:lang w:eastAsia="es-CR"/>
              </w:rPr>
            </w:pPr>
            <w:r w:rsidRPr="00493C0A">
              <w:rPr>
                <w:rFonts w:ascii="Arial" w:eastAsia="Times New Roman" w:hAnsi="Arial" w:cs="Arial"/>
                <w:bCs/>
                <w:color w:val="000000"/>
                <w:sz w:val="20"/>
                <w:szCs w:val="20"/>
                <w:lang w:eastAsia="es-CR"/>
              </w:rPr>
              <w:t>2) Elaboración de formularios digitales sobre solicitudes de servicios.</w:t>
            </w:r>
          </w:p>
          <w:p w:rsidR="00493C0A" w:rsidRPr="00493C0A" w:rsidRDefault="00493C0A" w:rsidP="000F6162">
            <w:pPr>
              <w:spacing w:after="0" w:line="240" w:lineRule="auto"/>
              <w:jc w:val="both"/>
              <w:rPr>
                <w:rFonts w:ascii="Arial" w:eastAsia="Times New Roman" w:hAnsi="Arial" w:cs="Arial"/>
                <w:bCs/>
                <w:color w:val="000000"/>
                <w:sz w:val="20"/>
                <w:szCs w:val="20"/>
                <w:lang w:eastAsia="es-CR"/>
              </w:rPr>
            </w:pPr>
            <w:r w:rsidRPr="00493C0A">
              <w:rPr>
                <w:rFonts w:ascii="Arial" w:eastAsia="Times New Roman" w:hAnsi="Arial" w:cs="Arial"/>
                <w:bCs/>
                <w:color w:val="000000"/>
                <w:sz w:val="20"/>
                <w:szCs w:val="20"/>
                <w:lang w:eastAsia="es-CR"/>
              </w:rPr>
              <w:t>3) Comunicación mediante oficio de un resumen de la Ley 8220 y su reglamento.</w:t>
            </w:r>
          </w:p>
          <w:p w:rsidR="00493C0A" w:rsidRPr="00493C0A" w:rsidRDefault="00493C0A" w:rsidP="000F6162">
            <w:pPr>
              <w:spacing w:after="0" w:line="240" w:lineRule="auto"/>
              <w:jc w:val="both"/>
              <w:rPr>
                <w:rFonts w:ascii="Arial" w:eastAsia="Times New Roman" w:hAnsi="Arial" w:cs="Arial"/>
                <w:bCs/>
                <w:color w:val="000000"/>
                <w:sz w:val="20"/>
                <w:szCs w:val="20"/>
                <w:lang w:eastAsia="es-CR"/>
              </w:rPr>
            </w:pPr>
            <w:r w:rsidRPr="00493C0A">
              <w:rPr>
                <w:rFonts w:ascii="Arial" w:eastAsia="Times New Roman" w:hAnsi="Arial" w:cs="Arial"/>
                <w:bCs/>
                <w:color w:val="000000"/>
                <w:sz w:val="20"/>
                <w:szCs w:val="20"/>
                <w:lang w:eastAsia="es-CR"/>
              </w:rPr>
              <w:t>4) Información de la Ley 8220 y su reglamento, mediante rótulos informativos, a nivel Institucional.</w:t>
            </w:r>
          </w:p>
          <w:p w:rsidR="00493C0A" w:rsidRPr="00493C0A" w:rsidRDefault="00493C0A" w:rsidP="000F6162">
            <w:pPr>
              <w:spacing w:after="0" w:line="240" w:lineRule="auto"/>
              <w:jc w:val="both"/>
              <w:rPr>
                <w:rFonts w:ascii="Arial" w:eastAsia="Times New Roman" w:hAnsi="Arial" w:cs="Arial"/>
                <w:bCs/>
                <w:color w:val="000000"/>
                <w:sz w:val="20"/>
                <w:szCs w:val="20"/>
                <w:lang w:eastAsia="es-CR"/>
              </w:rPr>
            </w:pPr>
            <w:r w:rsidRPr="00493C0A">
              <w:rPr>
                <w:rFonts w:ascii="Arial" w:eastAsia="Times New Roman" w:hAnsi="Arial" w:cs="Arial"/>
                <w:bCs/>
                <w:color w:val="000000"/>
                <w:sz w:val="20"/>
                <w:szCs w:val="20"/>
                <w:lang w:eastAsia="es-CR"/>
              </w:rPr>
              <w:t xml:space="preserve">5) Levantamiento del inventario de trámites, en conjunto con el departamento de Urbanismo, para la revisión y ajuste de requisitos, de acuerdo con la Ley 8220 y su reglamento. </w:t>
            </w:r>
          </w:p>
          <w:p w:rsidR="00493C0A" w:rsidRPr="00493C0A" w:rsidRDefault="00493C0A" w:rsidP="000F6162">
            <w:pPr>
              <w:spacing w:after="0" w:line="240" w:lineRule="auto"/>
              <w:jc w:val="both"/>
              <w:rPr>
                <w:rFonts w:ascii="Arial" w:eastAsia="Times New Roman" w:hAnsi="Arial" w:cs="Arial"/>
                <w:bCs/>
                <w:color w:val="000000"/>
                <w:sz w:val="20"/>
                <w:szCs w:val="20"/>
                <w:lang w:eastAsia="es-CR"/>
              </w:rPr>
            </w:pPr>
            <w:r w:rsidRPr="00493C0A">
              <w:rPr>
                <w:rFonts w:ascii="Arial" w:eastAsia="Times New Roman" w:hAnsi="Arial" w:cs="Arial"/>
                <w:bCs/>
                <w:color w:val="000000"/>
                <w:sz w:val="20"/>
                <w:szCs w:val="20"/>
                <w:lang w:eastAsia="es-CR"/>
              </w:rPr>
              <w:t>6) En proceso la elaboración un taller de capacitación a nivel institucional, para sensibilizar a los funcionarios sobre la Ley 8220 y su reglamento, Planes de Mejora Regulatoria y el Sistema de Control Previo (SICOPRE) del MEIC.</w:t>
            </w:r>
          </w:p>
          <w:p w:rsidR="00493C0A" w:rsidRPr="00493C0A" w:rsidRDefault="00493C0A" w:rsidP="000F6162">
            <w:pPr>
              <w:spacing w:after="0" w:line="240" w:lineRule="auto"/>
              <w:jc w:val="both"/>
              <w:rPr>
                <w:rFonts w:ascii="Arial" w:eastAsia="Times New Roman" w:hAnsi="Arial" w:cs="Arial"/>
                <w:bCs/>
                <w:color w:val="000000"/>
                <w:sz w:val="20"/>
                <w:szCs w:val="20"/>
                <w:lang w:eastAsia="es-CR"/>
              </w:rPr>
            </w:pPr>
          </w:p>
          <w:p w:rsidR="00493C0A" w:rsidRPr="00493C0A" w:rsidRDefault="00493C0A" w:rsidP="000F6162">
            <w:pPr>
              <w:spacing w:after="0" w:line="240" w:lineRule="auto"/>
              <w:jc w:val="both"/>
              <w:rPr>
                <w:rFonts w:ascii="Arial" w:eastAsia="Times New Roman" w:hAnsi="Arial" w:cs="Arial"/>
                <w:bCs/>
                <w:color w:val="000000"/>
                <w:sz w:val="20"/>
                <w:szCs w:val="20"/>
                <w:lang w:eastAsia="es-CR"/>
              </w:rPr>
            </w:pPr>
            <w:r w:rsidRPr="00493C0A">
              <w:rPr>
                <w:rFonts w:ascii="Arial" w:eastAsia="Times New Roman" w:hAnsi="Arial" w:cs="Arial"/>
                <w:bCs/>
                <w:color w:val="000000"/>
                <w:sz w:val="20"/>
                <w:szCs w:val="20"/>
                <w:lang w:eastAsia="es-CR"/>
              </w:rPr>
              <w:t>2) Comisión Institucional de Accesibilidad y discapacidad (CIAD)</w:t>
            </w:r>
          </w:p>
          <w:p w:rsidR="00493C0A" w:rsidRPr="00493C0A" w:rsidRDefault="00493C0A" w:rsidP="000F6162">
            <w:pPr>
              <w:spacing w:after="0" w:line="240" w:lineRule="auto"/>
              <w:jc w:val="both"/>
              <w:rPr>
                <w:rFonts w:ascii="Arial" w:eastAsia="Times New Roman" w:hAnsi="Arial" w:cs="Arial"/>
                <w:bCs/>
                <w:color w:val="000000"/>
                <w:sz w:val="20"/>
                <w:szCs w:val="20"/>
                <w:lang w:eastAsia="es-CR"/>
              </w:rPr>
            </w:pPr>
            <w:r w:rsidRPr="00493C0A">
              <w:rPr>
                <w:rFonts w:ascii="Arial" w:eastAsia="Times New Roman" w:hAnsi="Arial" w:cs="Arial"/>
                <w:bCs/>
                <w:color w:val="000000"/>
                <w:sz w:val="20"/>
                <w:szCs w:val="20"/>
                <w:lang w:eastAsia="es-CR"/>
              </w:rPr>
              <w:t>Entre las actividades realizadas se pueden mencionar:</w:t>
            </w:r>
          </w:p>
          <w:p w:rsidR="00493C0A" w:rsidRPr="00493C0A" w:rsidRDefault="00493C0A" w:rsidP="000F6162">
            <w:pPr>
              <w:spacing w:after="0" w:line="240" w:lineRule="auto"/>
              <w:jc w:val="both"/>
              <w:rPr>
                <w:rFonts w:ascii="Arial" w:eastAsia="Times New Roman" w:hAnsi="Arial" w:cs="Arial"/>
                <w:bCs/>
                <w:color w:val="000000"/>
                <w:sz w:val="20"/>
                <w:szCs w:val="20"/>
                <w:lang w:eastAsia="es-CR"/>
              </w:rPr>
            </w:pPr>
            <w:r w:rsidRPr="00493C0A">
              <w:rPr>
                <w:rFonts w:ascii="Arial" w:eastAsia="Times New Roman" w:hAnsi="Arial" w:cs="Arial"/>
                <w:bCs/>
                <w:color w:val="000000"/>
                <w:sz w:val="20"/>
                <w:szCs w:val="20"/>
                <w:lang w:eastAsia="es-CR"/>
              </w:rPr>
              <w:t xml:space="preserve">- En proceso la elaboración del borrador sobre el manual de atención para personas con discapacidad. </w:t>
            </w:r>
          </w:p>
          <w:p w:rsidR="00493C0A" w:rsidRPr="00493C0A" w:rsidRDefault="00493C0A" w:rsidP="000F6162">
            <w:pPr>
              <w:spacing w:after="0" w:line="240" w:lineRule="auto"/>
              <w:jc w:val="both"/>
              <w:rPr>
                <w:rFonts w:ascii="Arial" w:eastAsia="Times New Roman" w:hAnsi="Arial" w:cs="Arial"/>
                <w:bCs/>
                <w:color w:val="000000"/>
                <w:sz w:val="20"/>
                <w:szCs w:val="20"/>
                <w:lang w:eastAsia="es-CR"/>
              </w:rPr>
            </w:pPr>
          </w:p>
        </w:tc>
      </w:tr>
    </w:tbl>
    <w:p w:rsidR="00493C0A" w:rsidRPr="00493C0A" w:rsidRDefault="00493C0A" w:rsidP="00493C0A">
      <w:pPr>
        <w:spacing w:after="0" w:line="240" w:lineRule="auto"/>
        <w:rPr>
          <w:rFonts w:ascii="Arial" w:eastAsia="Times New Roman" w:hAnsi="Arial" w:cs="Arial"/>
          <w:bCs/>
          <w:color w:val="000000"/>
          <w:sz w:val="20"/>
          <w:szCs w:val="20"/>
          <w:lang w:eastAsia="es-CR"/>
        </w:rPr>
      </w:pPr>
    </w:p>
    <w:p w:rsidR="00493C0A" w:rsidRPr="001E2626" w:rsidRDefault="00493C0A" w:rsidP="00493C0A">
      <w:pPr>
        <w:spacing w:after="0" w:line="240" w:lineRule="auto"/>
        <w:rPr>
          <w:rFonts w:ascii="Arial" w:eastAsia="Times New Roman" w:hAnsi="Arial" w:cs="Arial"/>
          <w:bCs/>
          <w:color w:val="000000"/>
          <w:sz w:val="18"/>
          <w:szCs w:val="18"/>
          <w:lang w:eastAsia="es-CR"/>
        </w:rPr>
      </w:pPr>
      <w:r w:rsidRPr="001E2626">
        <w:rPr>
          <w:rFonts w:ascii="Arial" w:eastAsia="Times New Roman" w:hAnsi="Arial" w:cs="Arial"/>
          <w:bCs/>
          <w:color w:val="000000"/>
          <w:sz w:val="18"/>
          <w:szCs w:val="18"/>
          <w:lang w:eastAsia="es-CR"/>
        </w:rPr>
        <w:t>Nota Fuente: Informe de rendimiento de cuentas de área. (2017)</w:t>
      </w:r>
    </w:p>
    <w:p w:rsidR="00DA62C0" w:rsidRPr="00493C0A" w:rsidRDefault="00904E99" w:rsidP="00493C0A">
      <w:pPr>
        <w:spacing w:after="0" w:line="240" w:lineRule="auto"/>
        <w:rPr>
          <w:rFonts w:ascii="Arial" w:eastAsia="Times New Roman" w:hAnsi="Arial" w:cs="Arial"/>
          <w:bCs/>
          <w:color w:val="000000"/>
          <w:sz w:val="20"/>
          <w:szCs w:val="20"/>
          <w:lang w:eastAsia="es-CR"/>
        </w:rPr>
      </w:pPr>
      <w:r w:rsidRPr="00493C0A">
        <w:rPr>
          <w:rFonts w:ascii="Arial" w:eastAsia="Times New Roman" w:hAnsi="Arial" w:cs="Arial"/>
          <w:bCs/>
          <w:color w:val="000000"/>
          <w:sz w:val="20"/>
          <w:szCs w:val="20"/>
          <w:lang w:eastAsia="es-CR"/>
        </w:rPr>
        <w:br w:type="page"/>
      </w:r>
    </w:p>
    <w:p w:rsidR="00493C0A" w:rsidRDefault="00493C0A" w:rsidP="00493C0A">
      <w:pPr>
        <w:pStyle w:val="Textoindependiente"/>
        <w:spacing w:after="0" w:line="240" w:lineRule="auto"/>
        <w:jc w:val="both"/>
        <w:rPr>
          <w:rFonts w:ascii="Arial" w:eastAsia="Times New Roman" w:hAnsi="Arial" w:cs="Arial"/>
          <w:bCs/>
          <w:sz w:val="20"/>
          <w:szCs w:val="20"/>
          <w:lang w:eastAsia="es-CR"/>
        </w:rPr>
      </w:pPr>
    </w:p>
    <w:p w:rsidR="00493C0A" w:rsidRPr="00493C0A" w:rsidRDefault="00493C0A" w:rsidP="00493C0A">
      <w:pPr>
        <w:pStyle w:val="Textoindependiente"/>
        <w:spacing w:after="0" w:line="240" w:lineRule="auto"/>
        <w:jc w:val="both"/>
        <w:rPr>
          <w:rFonts w:ascii="Arial" w:eastAsia="Times New Roman" w:hAnsi="Arial" w:cs="Arial"/>
          <w:bCs/>
          <w:sz w:val="20"/>
          <w:szCs w:val="20"/>
          <w:lang w:eastAsia="es-CR"/>
        </w:rPr>
      </w:pPr>
      <w:r w:rsidRPr="00493C0A">
        <w:rPr>
          <w:rFonts w:ascii="Arial" w:eastAsia="Times New Roman" w:hAnsi="Arial" w:cs="Arial"/>
          <w:bCs/>
          <w:sz w:val="20"/>
          <w:szCs w:val="20"/>
          <w:lang w:eastAsia="es-CR"/>
        </w:rPr>
        <w:t>El Programa I cuenta con un total de 9 metas, como se puede observar en el cuadro y gráfico siguiente, donde la meta se cumplió en 5 indicadores (56%), en 1 indicador (11%)  se cumplió en forma parcial y en tres indicadores (33%) no se cumplió.</w:t>
      </w:r>
    </w:p>
    <w:p w:rsidR="00493C0A" w:rsidRPr="00493C0A" w:rsidRDefault="00493C0A" w:rsidP="00493C0A">
      <w:pPr>
        <w:pStyle w:val="Textoindependiente"/>
        <w:spacing w:after="0" w:line="240" w:lineRule="auto"/>
        <w:jc w:val="both"/>
        <w:rPr>
          <w:rFonts w:ascii="Arial" w:eastAsia="Times New Roman" w:hAnsi="Arial" w:cs="Arial"/>
          <w:bCs/>
          <w:sz w:val="20"/>
          <w:szCs w:val="20"/>
          <w:lang w:eastAsia="es-CR"/>
        </w:rPr>
      </w:pPr>
    </w:p>
    <w:p w:rsidR="00493C0A" w:rsidRPr="00493C0A" w:rsidRDefault="00493C0A" w:rsidP="00493C0A">
      <w:pPr>
        <w:pStyle w:val="Textoindependiente"/>
        <w:spacing w:after="0" w:line="240" w:lineRule="auto"/>
        <w:jc w:val="both"/>
        <w:rPr>
          <w:rFonts w:ascii="Arial" w:eastAsia="Times New Roman" w:hAnsi="Arial" w:cs="Arial"/>
          <w:bCs/>
          <w:sz w:val="20"/>
          <w:szCs w:val="20"/>
          <w:lang w:eastAsia="es-CR"/>
        </w:rPr>
      </w:pPr>
    </w:p>
    <w:tbl>
      <w:tblPr>
        <w:tblW w:w="7165" w:type="dxa"/>
        <w:jc w:val="center"/>
        <w:tblCellMar>
          <w:left w:w="70" w:type="dxa"/>
          <w:right w:w="70" w:type="dxa"/>
        </w:tblCellMar>
        <w:tblLook w:val="04A0" w:firstRow="1" w:lastRow="0" w:firstColumn="1" w:lastColumn="0" w:noHBand="0" w:noVBand="1"/>
      </w:tblPr>
      <w:tblGrid>
        <w:gridCol w:w="1200"/>
        <w:gridCol w:w="1419"/>
        <w:gridCol w:w="1200"/>
        <w:gridCol w:w="1386"/>
        <w:gridCol w:w="1960"/>
      </w:tblGrid>
      <w:tr w:rsidR="00493C0A" w:rsidRPr="00493C0A" w:rsidTr="00746DC0">
        <w:trPr>
          <w:trHeight w:val="615"/>
          <w:jc w:val="center"/>
        </w:trPr>
        <w:tc>
          <w:tcPr>
            <w:tcW w:w="7165" w:type="dxa"/>
            <w:gridSpan w:val="5"/>
            <w:tcBorders>
              <w:top w:val="nil"/>
              <w:left w:val="nil"/>
              <w:bottom w:val="single" w:sz="4" w:space="0" w:color="auto"/>
              <w:right w:val="nil"/>
            </w:tcBorders>
            <w:shd w:val="clear" w:color="auto" w:fill="auto"/>
            <w:vAlign w:val="bottom"/>
            <w:hideMark/>
          </w:tcPr>
          <w:p w:rsidR="00493C0A" w:rsidRPr="00A00F2A" w:rsidRDefault="00493C0A" w:rsidP="00A00F2A">
            <w:pPr>
              <w:pStyle w:val="Textoindependiente"/>
              <w:spacing w:after="0" w:line="240" w:lineRule="auto"/>
              <w:jc w:val="center"/>
              <w:rPr>
                <w:rFonts w:ascii="Arial" w:eastAsia="Times New Roman" w:hAnsi="Arial" w:cs="Arial"/>
                <w:b/>
                <w:bCs/>
                <w:sz w:val="20"/>
                <w:szCs w:val="20"/>
                <w:lang w:eastAsia="es-CR"/>
              </w:rPr>
            </w:pPr>
            <w:r w:rsidRPr="00A00F2A">
              <w:rPr>
                <w:rFonts w:ascii="Arial" w:eastAsia="Times New Roman" w:hAnsi="Arial" w:cs="Arial"/>
                <w:b/>
                <w:bCs/>
                <w:sz w:val="20"/>
                <w:szCs w:val="20"/>
                <w:lang w:eastAsia="es-CR"/>
              </w:rPr>
              <w:t>Cuadro 4 Comportamiento de las Metas del Programa I</w:t>
            </w:r>
            <w:r w:rsidRPr="00A00F2A">
              <w:rPr>
                <w:rFonts w:ascii="Arial" w:eastAsia="Times New Roman" w:hAnsi="Arial" w:cs="Arial"/>
                <w:b/>
                <w:bCs/>
                <w:sz w:val="20"/>
                <w:szCs w:val="20"/>
                <w:lang w:eastAsia="es-CR"/>
              </w:rPr>
              <w:br/>
              <w:t>Enero - diciembre 2017</w:t>
            </w:r>
          </w:p>
        </w:tc>
      </w:tr>
      <w:tr w:rsidR="00493C0A" w:rsidRPr="00493C0A" w:rsidTr="00746DC0">
        <w:trPr>
          <w:trHeight w:val="300"/>
          <w:jc w:val="center"/>
        </w:trPr>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493C0A" w:rsidRPr="00233ACA" w:rsidRDefault="00493C0A" w:rsidP="00493C0A">
            <w:pPr>
              <w:pStyle w:val="Textoindependiente"/>
              <w:spacing w:after="0" w:line="240" w:lineRule="auto"/>
              <w:jc w:val="both"/>
              <w:rPr>
                <w:rFonts w:ascii="Arial" w:eastAsia="Times New Roman" w:hAnsi="Arial" w:cs="Arial"/>
                <w:b/>
                <w:bCs/>
                <w:sz w:val="20"/>
                <w:szCs w:val="20"/>
                <w:lang w:eastAsia="es-CR"/>
              </w:rPr>
            </w:pPr>
            <w:r w:rsidRPr="00233ACA">
              <w:rPr>
                <w:rFonts w:ascii="Arial" w:eastAsia="Times New Roman" w:hAnsi="Arial" w:cs="Arial"/>
                <w:b/>
                <w:bCs/>
                <w:sz w:val="20"/>
                <w:szCs w:val="20"/>
                <w:lang w:eastAsia="es-CR"/>
              </w:rPr>
              <w:t>Valor / Metas</w:t>
            </w:r>
          </w:p>
        </w:tc>
        <w:tc>
          <w:tcPr>
            <w:tcW w:w="5965" w:type="dxa"/>
            <w:gridSpan w:val="4"/>
            <w:tcBorders>
              <w:top w:val="single" w:sz="4" w:space="0" w:color="auto"/>
              <w:left w:val="nil"/>
              <w:bottom w:val="single" w:sz="4" w:space="0" w:color="auto"/>
              <w:right w:val="single" w:sz="4" w:space="0" w:color="auto"/>
            </w:tcBorders>
            <w:shd w:val="clear" w:color="auto" w:fill="auto"/>
            <w:vAlign w:val="bottom"/>
            <w:hideMark/>
          </w:tcPr>
          <w:p w:rsidR="00493C0A" w:rsidRPr="00233ACA" w:rsidRDefault="00493C0A" w:rsidP="00233ACA">
            <w:pPr>
              <w:pStyle w:val="Textoindependiente"/>
              <w:spacing w:after="0" w:line="240" w:lineRule="auto"/>
              <w:jc w:val="center"/>
              <w:rPr>
                <w:rFonts w:ascii="Arial" w:eastAsia="Times New Roman" w:hAnsi="Arial" w:cs="Arial"/>
                <w:b/>
                <w:bCs/>
                <w:sz w:val="20"/>
                <w:szCs w:val="20"/>
                <w:lang w:eastAsia="es-CR"/>
              </w:rPr>
            </w:pPr>
            <w:r w:rsidRPr="00233ACA">
              <w:rPr>
                <w:rFonts w:ascii="Arial" w:eastAsia="Times New Roman" w:hAnsi="Arial" w:cs="Arial"/>
                <w:b/>
                <w:bCs/>
                <w:sz w:val="20"/>
                <w:szCs w:val="20"/>
                <w:lang w:eastAsia="es-CR"/>
              </w:rPr>
              <w:t>Metas</w:t>
            </w:r>
          </w:p>
        </w:tc>
      </w:tr>
      <w:tr w:rsidR="00493C0A" w:rsidRPr="00493C0A" w:rsidTr="00746DC0">
        <w:trPr>
          <w:trHeight w:val="510"/>
          <w:jc w:val="center"/>
        </w:trPr>
        <w:tc>
          <w:tcPr>
            <w:tcW w:w="1200" w:type="dxa"/>
            <w:vMerge/>
            <w:tcBorders>
              <w:top w:val="nil"/>
              <w:left w:val="single" w:sz="4" w:space="0" w:color="auto"/>
              <w:bottom w:val="single" w:sz="4" w:space="0" w:color="auto"/>
              <w:right w:val="single" w:sz="4" w:space="0" w:color="auto"/>
            </w:tcBorders>
            <w:vAlign w:val="center"/>
            <w:hideMark/>
          </w:tcPr>
          <w:p w:rsidR="00493C0A" w:rsidRPr="00233ACA" w:rsidRDefault="00493C0A" w:rsidP="00493C0A">
            <w:pPr>
              <w:pStyle w:val="Textoindependiente"/>
              <w:spacing w:after="0" w:line="240" w:lineRule="auto"/>
              <w:jc w:val="both"/>
              <w:rPr>
                <w:rFonts w:ascii="Arial" w:eastAsia="Times New Roman" w:hAnsi="Arial" w:cs="Arial"/>
                <w:b/>
                <w:bCs/>
                <w:sz w:val="20"/>
                <w:szCs w:val="20"/>
                <w:lang w:eastAsia="es-CR"/>
              </w:rPr>
            </w:pPr>
          </w:p>
        </w:tc>
        <w:tc>
          <w:tcPr>
            <w:tcW w:w="1419" w:type="dxa"/>
            <w:tcBorders>
              <w:top w:val="nil"/>
              <w:left w:val="nil"/>
              <w:bottom w:val="single" w:sz="4" w:space="0" w:color="auto"/>
              <w:right w:val="single" w:sz="4" w:space="0" w:color="auto"/>
            </w:tcBorders>
            <w:shd w:val="clear" w:color="auto" w:fill="auto"/>
            <w:vAlign w:val="center"/>
            <w:hideMark/>
          </w:tcPr>
          <w:p w:rsidR="00493C0A" w:rsidRPr="00233ACA" w:rsidRDefault="00493C0A" w:rsidP="00233ACA">
            <w:pPr>
              <w:pStyle w:val="Textoindependiente"/>
              <w:spacing w:after="0" w:line="240" w:lineRule="auto"/>
              <w:jc w:val="center"/>
              <w:rPr>
                <w:rFonts w:ascii="Arial" w:eastAsia="Times New Roman" w:hAnsi="Arial" w:cs="Arial"/>
                <w:b/>
                <w:bCs/>
                <w:sz w:val="20"/>
                <w:szCs w:val="20"/>
                <w:lang w:eastAsia="es-CR"/>
              </w:rPr>
            </w:pPr>
            <w:r w:rsidRPr="00233ACA">
              <w:rPr>
                <w:rFonts w:ascii="Arial" w:eastAsia="Times New Roman" w:hAnsi="Arial" w:cs="Arial"/>
                <w:b/>
                <w:bCs/>
                <w:sz w:val="20"/>
                <w:szCs w:val="20"/>
                <w:lang w:eastAsia="es-CR"/>
              </w:rPr>
              <w:t>Programadas</w:t>
            </w:r>
          </w:p>
        </w:tc>
        <w:tc>
          <w:tcPr>
            <w:tcW w:w="1200" w:type="dxa"/>
            <w:tcBorders>
              <w:top w:val="nil"/>
              <w:left w:val="nil"/>
              <w:bottom w:val="single" w:sz="4" w:space="0" w:color="auto"/>
              <w:right w:val="single" w:sz="4" w:space="0" w:color="auto"/>
            </w:tcBorders>
            <w:shd w:val="clear" w:color="auto" w:fill="auto"/>
            <w:vAlign w:val="center"/>
            <w:hideMark/>
          </w:tcPr>
          <w:p w:rsidR="00493C0A" w:rsidRPr="00233ACA" w:rsidRDefault="00493C0A" w:rsidP="00233ACA">
            <w:pPr>
              <w:pStyle w:val="Textoindependiente"/>
              <w:spacing w:after="0" w:line="240" w:lineRule="auto"/>
              <w:jc w:val="center"/>
              <w:rPr>
                <w:rFonts w:ascii="Arial" w:eastAsia="Times New Roman" w:hAnsi="Arial" w:cs="Arial"/>
                <w:b/>
                <w:bCs/>
                <w:sz w:val="20"/>
                <w:szCs w:val="20"/>
                <w:lang w:eastAsia="es-CR"/>
              </w:rPr>
            </w:pPr>
            <w:r w:rsidRPr="00233ACA">
              <w:rPr>
                <w:rFonts w:ascii="Arial" w:eastAsia="Times New Roman" w:hAnsi="Arial" w:cs="Arial"/>
                <w:b/>
                <w:bCs/>
                <w:sz w:val="20"/>
                <w:szCs w:val="20"/>
                <w:lang w:eastAsia="es-CR"/>
              </w:rPr>
              <w:t>Cumplidas</w:t>
            </w:r>
          </w:p>
        </w:tc>
        <w:tc>
          <w:tcPr>
            <w:tcW w:w="1386" w:type="dxa"/>
            <w:tcBorders>
              <w:top w:val="nil"/>
              <w:left w:val="nil"/>
              <w:bottom w:val="single" w:sz="4" w:space="0" w:color="auto"/>
              <w:right w:val="single" w:sz="4" w:space="0" w:color="auto"/>
            </w:tcBorders>
            <w:shd w:val="clear" w:color="auto" w:fill="auto"/>
            <w:vAlign w:val="center"/>
            <w:hideMark/>
          </w:tcPr>
          <w:p w:rsidR="00493C0A" w:rsidRPr="00233ACA" w:rsidRDefault="00493C0A" w:rsidP="00233ACA">
            <w:pPr>
              <w:pStyle w:val="Textoindependiente"/>
              <w:spacing w:after="0" w:line="240" w:lineRule="auto"/>
              <w:jc w:val="center"/>
              <w:rPr>
                <w:rFonts w:ascii="Arial" w:eastAsia="Times New Roman" w:hAnsi="Arial" w:cs="Arial"/>
                <w:b/>
                <w:bCs/>
                <w:sz w:val="20"/>
                <w:szCs w:val="20"/>
                <w:lang w:eastAsia="es-CR"/>
              </w:rPr>
            </w:pPr>
            <w:r w:rsidRPr="00233ACA">
              <w:rPr>
                <w:rFonts w:ascii="Arial" w:eastAsia="Times New Roman" w:hAnsi="Arial" w:cs="Arial"/>
                <w:b/>
                <w:bCs/>
                <w:sz w:val="20"/>
                <w:szCs w:val="20"/>
                <w:lang w:eastAsia="es-CR"/>
              </w:rPr>
              <w:t>Parcialmente</w:t>
            </w:r>
          </w:p>
          <w:p w:rsidR="00493C0A" w:rsidRPr="00233ACA" w:rsidRDefault="00493C0A" w:rsidP="00233ACA">
            <w:pPr>
              <w:pStyle w:val="Textoindependiente"/>
              <w:spacing w:after="0" w:line="240" w:lineRule="auto"/>
              <w:jc w:val="center"/>
              <w:rPr>
                <w:rFonts w:ascii="Arial" w:eastAsia="Times New Roman" w:hAnsi="Arial" w:cs="Arial"/>
                <w:b/>
                <w:bCs/>
                <w:sz w:val="20"/>
                <w:szCs w:val="20"/>
                <w:lang w:eastAsia="es-CR"/>
              </w:rPr>
            </w:pPr>
            <w:r w:rsidRPr="00233ACA">
              <w:rPr>
                <w:rFonts w:ascii="Arial" w:eastAsia="Times New Roman" w:hAnsi="Arial" w:cs="Arial"/>
                <w:b/>
                <w:bCs/>
                <w:sz w:val="20"/>
                <w:szCs w:val="20"/>
                <w:lang w:eastAsia="es-CR"/>
              </w:rPr>
              <w:t>Cumplidas</w:t>
            </w:r>
          </w:p>
        </w:tc>
        <w:tc>
          <w:tcPr>
            <w:tcW w:w="1960" w:type="dxa"/>
            <w:tcBorders>
              <w:top w:val="nil"/>
              <w:left w:val="nil"/>
              <w:bottom w:val="single" w:sz="4" w:space="0" w:color="auto"/>
              <w:right w:val="single" w:sz="4" w:space="0" w:color="auto"/>
            </w:tcBorders>
            <w:shd w:val="clear" w:color="auto" w:fill="auto"/>
            <w:vAlign w:val="center"/>
            <w:hideMark/>
          </w:tcPr>
          <w:p w:rsidR="00493C0A" w:rsidRPr="00233ACA" w:rsidRDefault="00493C0A" w:rsidP="00233ACA">
            <w:pPr>
              <w:pStyle w:val="Textoindependiente"/>
              <w:spacing w:after="0" w:line="240" w:lineRule="auto"/>
              <w:jc w:val="center"/>
              <w:rPr>
                <w:rFonts w:ascii="Arial" w:eastAsia="Times New Roman" w:hAnsi="Arial" w:cs="Arial"/>
                <w:b/>
                <w:bCs/>
                <w:sz w:val="20"/>
                <w:szCs w:val="20"/>
                <w:lang w:eastAsia="es-CR"/>
              </w:rPr>
            </w:pPr>
            <w:r w:rsidRPr="00233ACA">
              <w:rPr>
                <w:rFonts w:ascii="Arial" w:eastAsia="Times New Roman" w:hAnsi="Arial" w:cs="Arial"/>
                <w:b/>
                <w:bCs/>
                <w:sz w:val="20"/>
                <w:szCs w:val="20"/>
                <w:lang w:eastAsia="es-CR"/>
              </w:rPr>
              <w:t>Incumplidas</w:t>
            </w:r>
          </w:p>
        </w:tc>
      </w:tr>
      <w:tr w:rsidR="00493C0A" w:rsidRPr="00493C0A" w:rsidTr="00746DC0">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93C0A" w:rsidRPr="00493C0A" w:rsidRDefault="00493C0A" w:rsidP="00493C0A">
            <w:pPr>
              <w:pStyle w:val="Textoindependiente"/>
              <w:spacing w:after="0" w:line="240" w:lineRule="auto"/>
              <w:jc w:val="both"/>
              <w:rPr>
                <w:rFonts w:ascii="Arial" w:eastAsia="Times New Roman" w:hAnsi="Arial" w:cs="Arial"/>
                <w:bCs/>
                <w:sz w:val="20"/>
                <w:szCs w:val="20"/>
                <w:lang w:eastAsia="es-CR"/>
              </w:rPr>
            </w:pPr>
            <w:r w:rsidRPr="00493C0A">
              <w:rPr>
                <w:rFonts w:ascii="Arial" w:eastAsia="Times New Roman" w:hAnsi="Arial" w:cs="Arial"/>
                <w:bCs/>
                <w:sz w:val="20"/>
                <w:szCs w:val="20"/>
                <w:lang w:eastAsia="es-CR"/>
              </w:rPr>
              <w:t xml:space="preserve">Absoluto </w:t>
            </w:r>
          </w:p>
        </w:tc>
        <w:tc>
          <w:tcPr>
            <w:tcW w:w="1419" w:type="dxa"/>
            <w:tcBorders>
              <w:top w:val="nil"/>
              <w:left w:val="nil"/>
              <w:bottom w:val="single" w:sz="4" w:space="0" w:color="auto"/>
              <w:right w:val="single" w:sz="4" w:space="0" w:color="auto"/>
            </w:tcBorders>
            <w:shd w:val="clear" w:color="auto" w:fill="auto"/>
            <w:noWrap/>
            <w:vAlign w:val="bottom"/>
          </w:tcPr>
          <w:p w:rsidR="00493C0A" w:rsidRPr="001E2626" w:rsidRDefault="00493C0A" w:rsidP="00233ACA">
            <w:pPr>
              <w:pStyle w:val="Textoindependiente"/>
              <w:spacing w:after="0" w:line="240" w:lineRule="auto"/>
              <w:jc w:val="center"/>
              <w:rPr>
                <w:rFonts w:ascii="Arial" w:eastAsia="Times New Roman" w:hAnsi="Arial" w:cs="Arial"/>
                <w:bCs/>
                <w:sz w:val="20"/>
                <w:szCs w:val="20"/>
                <w:lang w:eastAsia="es-CR"/>
              </w:rPr>
            </w:pPr>
            <w:r w:rsidRPr="001E2626">
              <w:rPr>
                <w:rFonts w:ascii="Arial" w:eastAsia="Times New Roman" w:hAnsi="Arial" w:cs="Arial"/>
                <w:bCs/>
                <w:sz w:val="20"/>
                <w:szCs w:val="20"/>
                <w:lang w:eastAsia="es-CR"/>
              </w:rPr>
              <w:t>9</w:t>
            </w:r>
          </w:p>
        </w:tc>
        <w:tc>
          <w:tcPr>
            <w:tcW w:w="1200" w:type="dxa"/>
            <w:tcBorders>
              <w:top w:val="nil"/>
              <w:left w:val="nil"/>
              <w:bottom w:val="single" w:sz="4" w:space="0" w:color="auto"/>
              <w:right w:val="single" w:sz="4" w:space="0" w:color="auto"/>
            </w:tcBorders>
            <w:shd w:val="clear" w:color="auto" w:fill="auto"/>
            <w:noWrap/>
            <w:vAlign w:val="bottom"/>
          </w:tcPr>
          <w:p w:rsidR="00493C0A" w:rsidRPr="001E2626" w:rsidRDefault="00493C0A" w:rsidP="00233ACA">
            <w:pPr>
              <w:pStyle w:val="Textoindependiente"/>
              <w:spacing w:after="0" w:line="240" w:lineRule="auto"/>
              <w:jc w:val="center"/>
              <w:rPr>
                <w:rFonts w:ascii="Arial" w:eastAsia="Times New Roman" w:hAnsi="Arial" w:cs="Arial"/>
                <w:bCs/>
                <w:sz w:val="20"/>
                <w:szCs w:val="20"/>
                <w:lang w:eastAsia="es-CR"/>
              </w:rPr>
            </w:pPr>
            <w:r w:rsidRPr="001E2626">
              <w:rPr>
                <w:rFonts w:ascii="Arial" w:eastAsia="Times New Roman" w:hAnsi="Arial" w:cs="Arial"/>
                <w:bCs/>
                <w:sz w:val="20"/>
                <w:szCs w:val="20"/>
                <w:lang w:eastAsia="es-CR"/>
              </w:rPr>
              <w:t>5</w:t>
            </w:r>
          </w:p>
        </w:tc>
        <w:tc>
          <w:tcPr>
            <w:tcW w:w="1386" w:type="dxa"/>
            <w:tcBorders>
              <w:top w:val="nil"/>
              <w:left w:val="nil"/>
              <w:bottom w:val="single" w:sz="4" w:space="0" w:color="auto"/>
              <w:right w:val="single" w:sz="4" w:space="0" w:color="auto"/>
            </w:tcBorders>
            <w:shd w:val="clear" w:color="auto" w:fill="auto"/>
            <w:noWrap/>
            <w:vAlign w:val="bottom"/>
          </w:tcPr>
          <w:p w:rsidR="00493C0A" w:rsidRPr="001E2626" w:rsidRDefault="00493C0A" w:rsidP="00233ACA">
            <w:pPr>
              <w:pStyle w:val="Textoindependiente"/>
              <w:spacing w:after="0" w:line="240" w:lineRule="auto"/>
              <w:jc w:val="center"/>
              <w:rPr>
                <w:rFonts w:ascii="Arial" w:eastAsia="Times New Roman" w:hAnsi="Arial" w:cs="Arial"/>
                <w:bCs/>
                <w:sz w:val="20"/>
                <w:szCs w:val="20"/>
                <w:lang w:eastAsia="es-CR"/>
              </w:rPr>
            </w:pPr>
            <w:r w:rsidRPr="001E2626">
              <w:rPr>
                <w:rFonts w:ascii="Arial" w:eastAsia="Times New Roman" w:hAnsi="Arial" w:cs="Arial"/>
                <w:bCs/>
                <w:sz w:val="20"/>
                <w:szCs w:val="20"/>
                <w:lang w:eastAsia="es-CR"/>
              </w:rPr>
              <w:t>1</w:t>
            </w:r>
          </w:p>
        </w:tc>
        <w:tc>
          <w:tcPr>
            <w:tcW w:w="1960" w:type="dxa"/>
            <w:tcBorders>
              <w:top w:val="nil"/>
              <w:left w:val="nil"/>
              <w:bottom w:val="single" w:sz="4" w:space="0" w:color="auto"/>
              <w:right w:val="single" w:sz="4" w:space="0" w:color="auto"/>
            </w:tcBorders>
            <w:shd w:val="clear" w:color="auto" w:fill="auto"/>
            <w:noWrap/>
            <w:vAlign w:val="bottom"/>
          </w:tcPr>
          <w:p w:rsidR="00493C0A" w:rsidRPr="001E2626" w:rsidRDefault="00493C0A" w:rsidP="00233ACA">
            <w:pPr>
              <w:pStyle w:val="Textoindependiente"/>
              <w:spacing w:after="0" w:line="240" w:lineRule="auto"/>
              <w:jc w:val="center"/>
              <w:rPr>
                <w:rFonts w:ascii="Arial" w:eastAsia="Times New Roman" w:hAnsi="Arial" w:cs="Arial"/>
                <w:bCs/>
                <w:sz w:val="20"/>
                <w:szCs w:val="20"/>
                <w:lang w:eastAsia="es-CR"/>
              </w:rPr>
            </w:pPr>
            <w:r w:rsidRPr="001E2626">
              <w:rPr>
                <w:rFonts w:ascii="Arial" w:eastAsia="Times New Roman" w:hAnsi="Arial" w:cs="Arial"/>
                <w:bCs/>
                <w:sz w:val="20"/>
                <w:szCs w:val="20"/>
                <w:lang w:eastAsia="es-CR"/>
              </w:rPr>
              <w:t>3</w:t>
            </w:r>
          </w:p>
        </w:tc>
      </w:tr>
      <w:tr w:rsidR="00493C0A" w:rsidRPr="00493C0A" w:rsidTr="00746DC0">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93C0A" w:rsidRPr="00493C0A" w:rsidRDefault="00493C0A" w:rsidP="00493C0A">
            <w:pPr>
              <w:pStyle w:val="Textoindependiente"/>
              <w:spacing w:after="0" w:line="240" w:lineRule="auto"/>
              <w:jc w:val="both"/>
              <w:rPr>
                <w:rFonts w:ascii="Arial" w:eastAsia="Times New Roman" w:hAnsi="Arial" w:cs="Arial"/>
                <w:bCs/>
                <w:sz w:val="20"/>
                <w:szCs w:val="20"/>
                <w:lang w:eastAsia="es-CR"/>
              </w:rPr>
            </w:pPr>
            <w:r w:rsidRPr="00493C0A">
              <w:rPr>
                <w:rFonts w:ascii="Arial" w:eastAsia="Times New Roman" w:hAnsi="Arial" w:cs="Arial"/>
                <w:bCs/>
                <w:sz w:val="20"/>
                <w:szCs w:val="20"/>
                <w:lang w:eastAsia="es-CR"/>
              </w:rPr>
              <w:t>Porcentual</w:t>
            </w:r>
          </w:p>
        </w:tc>
        <w:tc>
          <w:tcPr>
            <w:tcW w:w="1419" w:type="dxa"/>
            <w:tcBorders>
              <w:top w:val="nil"/>
              <w:left w:val="nil"/>
              <w:bottom w:val="single" w:sz="4" w:space="0" w:color="auto"/>
              <w:right w:val="single" w:sz="4" w:space="0" w:color="auto"/>
            </w:tcBorders>
            <w:shd w:val="clear" w:color="auto" w:fill="auto"/>
            <w:noWrap/>
            <w:vAlign w:val="bottom"/>
          </w:tcPr>
          <w:p w:rsidR="00493C0A" w:rsidRPr="001E2626" w:rsidRDefault="00493C0A" w:rsidP="00233ACA">
            <w:pPr>
              <w:pStyle w:val="Textoindependiente"/>
              <w:spacing w:after="0" w:line="240" w:lineRule="auto"/>
              <w:jc w:val="center"/>
              <w:rPr>
                <w:rFonts w:ascii="Arial" w:eastAsia="Times New Roman" w:hAnsi="Arial" w:cs="Arial"/>
                <w:bCs/>
                <w:sz w:val="20"/>
                <w:szCs w:val="20"/>
                <w:lang w:eastAsia="es-CR"/>
              </w:rPr>
            </w:pPr>
            <w:r w:rsidRPr="001E2626">
              <w:rPr>
                <w:rFonts w:ascii="Arial" w:eastAsia="Times New Roman" w:hAnsi="Arial" w:cs="Arial"/>
                <w:bCs/>
                <w:sz w:val="20"/>
                <w:szCs w:val="20"/>
                <w:lang w:eastAsia="es-CR"/>
              </w:rPr>
              <w:t>100%</w:t>
            </w:r>
          </w:p>
        </w:tc>
        <w:tc>
          <w:tcPr>
            <w:tcW w:w="1200" w:type="dxa"/>
            <w:tcBorders>
              <w:top w:val="nil"/>
              <w:left w:val="nil"/>
              <w:bottom w:val="single" w:sz="4" w:space="0" w:color="auto"/>
              <w:right w:val="single" w:sz="4" w:space="0" w:color="auto"/>
            </w:tcBorders>
            <w:shd w:val="clear" w:color="auto" w:fill="auto"/>
            <w:noWrap/>
            <w:vAlign w:val="bottom"/>
          </w:tcPr>
          <w:p w:rsidR="00493C0A" w:rsidRPr="001E2626" w:rsidRDefault="00493C0A" w:rsidP="00233ACA">
            <w:pPr>
              <w:pStyle w:val="Textoindependiente"/>
              <w:spacing w:after="0" w:line="240" w:lineRule="auto"/>
              <w:jc w:val="center"/>
              <w:rPr>
                <w:rFonts w:ascii="Arial" w:eastAsia="Times New Roman" w:hAnsi="Arial" w:cs="Arial"/>
                <w:bCs/>
                <w:sz w:val="20"/>
                <w:szCs w:val="20"/>
                <w:lang w:eastAsia="es-CR"/>
              </w:rPr>
            </w:pPr>
            <w:r w:rsidRPr="001E2626">
              <w:rPr>
                <w:rFonts w:ascii="Arial" w:eastAsia="Times New Roman" w:hAnsi="Arial" w:cs="Arial"/>
                <w:bCs/>
                <w:sz w:val="20"/>
                <w:szCs w:val="20"/>
                <w:lang w:eastAsia="es-CR"/>
              </w:rPr>
              <w:t>56%</w:t>
            </w:r>
          </w:p>
        </w:tc>
        <w:tc>
          <w:tcPr>
            <w:tcW w:w="1386" w:type="dxa"/>
            <w:tcBorders>
              <w:top w:val="nil"/>
              <w:left w:val="nil"/>
              <w:bottom w:val="single" w:sz="4" w:space="0" w:color="auto"/>
              <w:right w:val="single" w:sz="4" w:space="0" w:color="auto"/>
            </w:tcBorders>
            <w:shd w:val="clear" w:color="auto" w:fill="auto"/>
            <w:noWrap/>
            <w:vAlign w:val="bottom"/>
          </w:tcPr>
          <w:p w:rsidR="00493C0A" w:rsidRPr="001E2626" w:rsidRDefault="00493C0A" w:rsidP="00233ACA">
            <w:pPr>
              <w:pStyle w:val="Textoindependiente"/>
              <w:spacing w:after="0" w:line="240" w:lineRule="auto"/>
              <w:jc w:val="center"/>
              <w:rPr>
                <w:rFonts w:ascii="Arial" w:eastAsia="Times New Roman" w:hAnsi="Arial" w:cs="Arial"/>
                <w:bCs/>
                <w:sz w:val="20"/>
                <w:szCs w:val="20"/>
                <w:lang w:eastAsia="es-CR"/>
              </w:rPr>
            </w:pPr>
            <w:r w:rsidRPr="001E2626">
              <w:rPr>
                <w:rFonts w:ascii="Arial" w:eastAsia="Times New Roman" w:hAnsi="Arial" w:cs="Arial"/>
                <w:bCs/>
                <w:sz w:val="20"/>
                <w:szCs w:val="20"/>
                <w:lang w:eastAsia="es-CR"/>
              </w:rPr>
              <w:t>11%</w:t>
            </w:r>
          </w:p>
        </w:tc>
        <w:tc>
          <w:tcPr>
            <w:tcW w:w="1960" w:type="dxa"/>
            <w:tcBorders>
              <w:top w:val="nil"/>
              <w:left w:val="nil"/>
              <w:bottom w:val="single" w:sz="4" w:space="0" w:color="auto"/>
              <w:right w:val="single" w:sz="4" w:space="0" w:color="auto"/>
            </w:tcBorders>
            <w:shd w:val="clear" w:color="auto" w:fill="auto"/>
            <w:noWrap/>
            <w:vAlign w:val="bottom"/>
          </w:tcPr>
          <w:p w:rsidR="00493C0A" w:rsidRPr="001E2626" w:rsidRDefault="00493C0A" w:rsidP="00233ACA">
            <w:pPr>
              <w:pStyle w:val="Textoindependiente"/>
              <w:spacing w:after="0" w:line="240" w:lineRule="auto"/>
              <w:jc w:val="center"/>
              <w:rPr>
                <w:rFonts w:ascii="Arial" w:eastAsia="Times New Roman" w:hAnsi="Arial" w:cs="Arial"/>
                <w:bCs/>
                <w:sz w:val="20"/>
                <w:szCs w:val="20"/>
                <w:lang w:eastAsia="es-CR"/>
              </w:rPr>
            </w:pPr>
            <w:r w:rsidRPr="001E2626">
              <w:rPr>
                <w:rFonts w:ascii="Arial" w:eastAsia="Times New Roman" w:hAnsi="Arial" w:cs="Arial"/>
                <w:bCs/>
                <w:sz w:val="20"/>
                <w:szCs w:val="20"/>
                <w:lang w:eastAsia="es-CR"/>
              </w:rPr>
              <w:t>33%</w:t>
            </w:r>
          </w:p>
        </w:tc>
      </w:tr>
      <w:tr w:rsidR="00493C0A" w:rsidRPr="00493C0A" w:rsidTr="00746DC0">
        <w:trPr>
          <w:trHeight w:val="300"/>
          <w:jc w:val="center"/>
        </w:trPr>
        <w:tc>
          <w:tcPr>
            <w:tcW w:w="7165" w:type="dxa"/>
            <w:gridSpan w:val="5"/>
            <w:tcBorders>
              <w:top w:val="nil"/>
              <w:left w:val="nil"/>
              <w:bottom w:val="nil"/>
              <w:right w:val="nil"/>
            </w:tcBorders>
            <w:shd w:val="clear" w:color="auto" w:fill="auto"/>
            <w:noWrap/>
            <w:vAlign w:val="bottom"/>
            <w:hideMark/>
          </w:tcPr>
          <w:p w:rsidR="00493C0A" w:rsidRPr="00233ACA" w:rsidRDefault="00493C0A" w:rsidP="00493C0A">
            <w:pPr>
              <w:pStyle w:val="Textoindependiente"/>
              <w:spacing w:after="0" w:line="240" w:lineRule="auto"/>
              <w:jc w:val="both"/>
              <w:rPr>
                <w:rFonts w:ascii="Arial" w:eastAsia="Times New Roman" w:hAnsi="Arial" w:cs="Arial"/>
                <w:bCs/>
                <w:sz w:val="18"/>
                <w:szCs w:val="18"/>
                <w:lang w:eastAsia="es-CR"/>
              </w:rPr>
            </w:pPr>
            <w:r w:rsidRPr="00233ACA">
              <w:rPr>
                <w:rFonts w:ascii="Arial" w:eastAsia="Times New Roman" w:hAnsi="Arial" w:cs="Arial"/>
                <w:bCs/>
                <w:sz w:val="18"/>
                <w:szCs w:val="18"/>
                <w:lang w:eastAsia="es-CR"/>
              </w:rPr>
              <w:t>Fuente: Informe de rendimiento de cuentas del área. (2017)</w:t>
            </w:r>
          </w:p>
        </w:tc>
      </w:tr>
    </w:tbl>
    <w:p w:rsidR="00493C0A" w:rsidRPr="00493C0A" w:rsidRDefault="00493C0A" w:rsidP="00493C0A">
      <w:pPr>
        <w:pStyle w:val="Textoindependiente"/>
        <w:spacing w:after="0" w:line="240" w:lineRule="auto"/>
        <w:jc w:val="both"/>
        <w:rPr>
          <w:rFonts w:ascii="Arial" w:eastAsia="Times New Roman" w:hAnsi="Arial" w:cs="Arial"/>
          <w:bCs/>
          <w:sz w:val="20"/>
          <w:szCs w:val="20"/>
          <w:lang w:eastAsia="es-CR"/>
        </w:rPr>
      </w:pPr>
    </w:p>
    <w:p w:rsidR="00493C0A" w:rsidRPr="00493C0A" w:rsidRDefault="00493C0A" w:rsidP="00493C0A">
      <w:pPr>
        <w:pStyle w:val="Textoindependiente"/>
        <w:spacing w:after="0" w:line="240" w:lineRule="auto"/>
        <w:jc w:val="both"/>
        <w:rPr>
          <w:rFonts w:ascii="Arial" w:eastAsia="Times New Roman" w:hAnsi="Arial" w:cs="Arial"/>
          <w:bCs/>
          <w:sz w:val="20"/>
          <w:szCs w:val="20"/>
          <w:lang w:eastAsia="es-CR"/>
        </w:rPr>
      </w:pPr>
    </w:p>
    <w:p w:rsidR="00493C0A" w:rsidRPr="00493C0A" w:rsidRDefault="00493C0A" w:rsidP="00493C0A">
      <w:pPr>
        <w:pStyle w:val="Textoindependiente"/>
        <w:spacing w:after="0" w:line="240" w:lineRule="auto"/>
        <w:jc w:val="both"/>
        <w:rPr>
          <w:rFonts w:ascii="Arial" w:eastAsia="Times New Roman" w:hAnsi="Arial" w:cs="Arial"/>
          <w:bCs/>
          <w:sz w:val="20"/>
          <w:szCs w:val="20"/>
          <w:lang w:eastAsia="es-CR"/>
        </w:rPr>
      </w:pPr>
    </w:p>
    <w:p w:rsidR="00493C0A" w:rsidRPr="00493C0A" w:rsidRDefault="00493C0A" w:rsidP="00493C0A">
      <w:pPr>
        <w:pStyle w:val="Textoindependiente"/>
        <w:spacing w:after="0" w:line="240" w:lineRule="auto"/>
        <w:jc w:val="both"/>
        <w:rPr>
          <w:rFonts w:ascii="Arial" w:eastAsia="Times New Roman" w:hAnsi="Arial" w:cs="Arial"/>
          <w:bCs/>
          <w:sz w:val="20"/>
          <w:szCs w:val="20"/>
          <w:lang w:eastAsia="es-CR"/>
        </w:rPr>
      </w:pPr>
    </w:p>
    <w:p w:rsidR="00493C0A" w:rsidRPr="00493C0A" w:rsidRDefault="00493C0A" w:rsidP="00493C0A">
      <w:pPr>
        <w:pStyle w:val="Textoindependiente"/>
        <w:spacing w:after="0" w:line="240" w:lineRule="auto"/>
        <w:jc w:val="center"/>
        <w:rPr>
          <w:rFonts w:ascii="Arial" w:eastAsia="Times New Roman" w:hAnsi="Arial" w:cs="Arial"/>
          <w:bCs/>
          <w:sz w:val="20"/>
          <w:szCs w:val="20"/>
          <w:lang w:eastAsia="es-CR"/>
        </w:rPr>
      </w:pPr>
      <w:r w:rsidRPr="00493C0A">
        <w:rPr>
          <w:rFonts w:ascii="Arial" w:eastAsia="Times New Roman" w:hAnsi="Arial" w:cs="Arial"/>
          <w:bCs/>
          <w:sz w:val="20"/>
          <w:szCs w:val="20"/>
          <w:lang w:eastAsia="es-CR"/>
        </w:rPr>
        <w:fldChar w:fldCharType="begin"/>
      </w:r>
      <w:r w:rsidRPr="00493C0A">
        <w:rPr>
          <w:rFonts w:ascii="Arial" w:eastAsia="Times New Roman" w:hAnsi="Arial" w:cs="Arial"/>
          <w:bCs/>
          <w:sz w:val="20"/>
          <w:szCs w:val="20"/>
          <w:lang w:eastAsia="es-CR"/>
        </w:rPr>
        <w:instrText xml:space="preserve"> LINK Excel.Sheet.12 "" "" \a \p \* MERGEFORMAT </w:instrText>
      </w:r>
      <w:r w:rsidRPr="00493C0A">
        <w:rPr>
          <w:rFonts w:ascii="Arial" w:eastAsia="Times New Roman" w:hAnsi="Arial" w:cs="Arial"/>
          <w:bCs/>
          <w:sz w:val="20"/>
          <w:szCs w:val="20"/>
          <w:lang w:eastAsia="es-CR"/>
        </w:rPr>
        <w:fldChar w:fldCharType="separate"/>
      </w:r>
      <w:r w:rsidR="00C16C06">
        <w:rPr>
          <w:rFonts w:ascii="Arial" w:eastAsia="Times New Roman" w:hAnsi="Arial" w:cs="Arial"/>
          <w:bCs/>
          <w:sz w:val="20"/>
          <w:szCs w:val="20"/>
          <w:lang w:eastAsia="es-CR"/>
        </w:rPr>
        <w:object w:dxaOrig="10490" w:dyaOrig="6036">
          <v:shape id="_x0000_i1067" type="#_x0000_t75" style="width:393.65pt;height:226.1pt" o:ole="">
            <v:imagedata r:id="rId20" o:title=""/>
          </v:shape>
        </w:object>
      </w:r>
      <w:r w:rsidRPr="00493C0A">
        <w:rPr>
          <w:rFonts w:ascii="Arial" w:eastAsia="Times New Roman" w:hAnsi="Arial" w:cs="Arial"/>
          <w:bCs/>
          <w:sz w:val="20"/>
          <w:szCs w:val="20"/>
          <w:lang w:eastAsia="es-CR"/>
        </w:rPr>
        <w:fldChar w:fldCharType="end"/>
      </w:r>
    </w:p>
    <w:p w:rsidR="00493C0A" w:rsidRPr="00233ACA" w:rsidRDefault="00493C0A" w:rsidP="00493C0A">
      <w:pPr>
        <w:pStyle w:val="Textoindependiente"/>
        <w:spacing w:after="0" w:line="240" w:lineRule="auto"/>
        <w:jc w:val="both"/>
        <w:rPr>
          <w:rFonts w:ascii="Arial" w:eastAsia="Times New Roman" w:hAnsi="Arial" w:cs="Arial"/>
          <w:bCs/>
          <w:sz w:val="18"/>
          <w:szCs w:val="18"/>
          <w:lang w:eastAsia="es-CR"/>
        </w:rPr>
      </w:pPr>
      <w:r w:rsidRPr="00493C0A">
        <w:rPr>
          <w:rFonts w:ascii="Arial" w:eastAsia="Times New Roman" w:hAnsi="Arial" w:cs="Arial"/>
          <w:bCs/>
          <w:sz w:val="20"/>
          <w:szCs w:val="20"/>
          <w:lang w:eastAsia="es-CR"/>
        </w:rPr>
        <w:t xml:space="preserve">                     </w:t>
      </w:r>
      <w:r w:rsidRPr="00233ACA">
        <w:rPr>
          <w:rFonts w:ascii="Arial" w:eastAsia="Times New Roman" w:hAnsi="Arial" w:cs="Arial"/>
          <w:bCs/>
          <w:sz w:val="18"/>
          <w:szCs w:val="18"/>
          <w:lang w:eastAsia="es-CR"/>
        </w:rPr>
        <w:t>Fuente: Informe de rendimiento de cuentas del área. (2017)</w:t>
      </w:r>
    </w:p>
    <w:p w:rsidR="00DA62C0" w:rsidRDefault="00DA62C0">
      <w:pPr>
        <w:rPr>
          <w:rFonts w:ascii="Arial" w:eastAsia="Times New Roman" w:hAnsi="Arial" w:cs="Arial"/>
          <w:sz w:val="20"/>
          <w:szCs w:val="20"/>
          <w:lang w:val="es-ES" w:eastAsia="es-ES"/>
        </w:rPr>
      </w:pPr>
      <w:r>
        <w:rPr>
          <w:rFonts w:ascii="Arial" w:eastAsia="Times New Roman" w:hAnsi="Arial" w:cs="Arial"/>
          <w:sz w:val="20"/>
          <w:szCs w:val="20"/>
          <w:lang w:val="es-ES" w:eastAsia="es-ES"/>
        </w:rPr>
        <w:br w:type="page"/>
      </w:r>
    </w:p>
    <w:p w:rsidR="00233ACA" w:rsidRDefault="00233ACA" w:rsidP="004402A5">
      <w:pPr>
        <w:pStyle w:val="Ttulo2"/>
        <w:keepLines w:val="0"/>
        <w:spacing w:before="240" w:after="60" w:line="240" w:lineRule="auto"/>
        <w:rPr>
          <w:rFonts w:ascii="Arial" w:eastAsia="Times New Roman" w:hAnsi="Arial" w:cs="Times New Roman"/>
          <w:bCs w:val="0"/>
          <w:color w:val="auto"/>
          <w:sz w:val="22"/>
          <w:szCs w:val="22"/>
          <w:lang w:eastAsia="es-ES"/>
        </w:rPr>
      </w:pPr>
      <w:bookmarkStart w:id="6" w:name="_Toc482965759"/>
    </w:p>
    <w:p w:rsidR="004402A5" w:rsidRPr="00233ACA" w:rsidRDefault="004402A5" w:rsidP="004402A5">
      <w:pPr>
        <w:pStyle w:val="Ttulo2"/>
        <w:keepLines w:val="0"/>
        <w:spacing w:before="240" w:after="60" w:line="240" w:lineRule="auto"/>
        <w:rPr>
          <w:rFonts w:ascii="Arial" w:eastAsia="Times New Roman" w:hAnsi="Arial" w:cs="Times New Roman"/>
          <w:bCs w:val="0"/>
          <w:color w:val="auto"/>
          <w:sz w:val="20"/>
          <w:szCs w:val="20"/>
          <w:lang w:eastAsia="es-ES"/>
        </w:rPr>
      </w:pPr>
      <w:r w:rsidRPr="00233ACA">
        <w:rPr>
          <w:rFonts w:ascii="Arial" w:eastAsia="Times New Roman" w:hAnsi="Arial" w:cs="Times New Roman"/>
          <w:bCs w:val="0"/>
          <w:color w:val="auto"/>
          <w:sz w:val="20"/>
          <w:szCs w:val="20"/>
          <w:lang w:eastAsia="es-ES"/>
        </w:rPr>
        <w:t>SEGUIMIENTO DE PROYECTOS DEL 2015</w:t>
      </w:r>
      <w:bookmarkEnd w:id="6"/>
      <w:r w:rsidRPr="00233ACA">
        <w:rPr>
          <w:rFonts w:ascii="Arial" w:eastAsia="Times New Roman" w:hAnsi="Arial" w:cs="Times New Roman"/>
          <w:bCs w:val="0"/>
          <w:color w:val="auto"/>
          <w:sz w:val="20"/>
          <w:szCs w:val="20"/>
          <w:lang w:eastAsia="es-ES"/>
        </w:rPr>
        <w:t xml:space="preserve"> </w:t>
      </w:r>
    </w:p>
    <w:p w:rsidR="004402A5" w:rsidRPr="00233ACA" w:rsidRDefault="004402A5" w:rsidP="00233ACA">
      <w:pPr>
        <w:pStyle w:val="Ttulo2"/>
        <w:keepLines w:val="0"/>
        <w:numPr>
          <w:ilvl w:val="0"/>
          <w:numId w:val="3"/>
        </w:numPr>
        <w:spacing w:before="240" w:after="60" w:line="240" w:lineRule="auto"/>
        <w:jc w:val="both"/>
        <w:rPr>
          <w:rFonts w:ascii="Arial" w:eastAsia="Times New Roman" w:hAnsi="Arial" w:cs="Times New Roman"/>
          <w:bCs w:val="0"/>
          <w:color w:val="auto"/>
          <w:sz w:val="20"/>
          <w:szCs w:val="20"/>
          <w:lang w:eastAsia="es-ES"/>
        </w:rPr>
      </w:pPr>
      <w:r w:rsidRPr="00233ACA">
        <w:rPr>
          <w:rFonts w:ascii="Arial" w:eastAsia="Times New Roman" w:hAnsi="Arial" w:cs="Times New Roman"/>
          <w:bCs w:val="0"/>
          <w:color w:val="auto"/>
          <w:sz w:val="20"/>
          <w:szCs w:val="20"/>
          <w:lang w:eastAsia="es-ES"/>
        </w:rPr>
        <w:t>Disposiciones emitidas por la Contraloría General de la República</w:t>
      </w:r>
    </w:p>
    <w:p w:rsidR="00233ACA" w:rsidRDefault="00233ACA" w:rsidP="00233ACA">
      <w:pPr>
        <w:spacing w:after="0" w:line="240" w:lineRule="auto"/>
        <w:jc w:val="both"/>
        <w:rPr>
          <w:rFonts w:ascii="Arial" w:eastAsia="Times New Roman" w:hAnsi="Arial" w:cs="Arial"/>
          <w:sz w:val="20"/>
          <w:szCs w:val="20"/>
          <w:lang w:eastAsia="es-ES"/>
        </w:rPr>
      </w:pPr>
    </w:p>
    <w:p w:rsidR="004402A5" w:rsidRPr="00233ACA" w:rsidRDefault="004402A5" w:rsidP="00233ACA">
      <w:pPr>
        <w:spacing w:after="0" w:line="240" w:lineRule="auto"/>
        <w:jc w:val="both"/>
        <w:rPr>
          <w:rFonts w:ascii="Arial" w:eastAsia="Times New Roman" w:hAnsi="Arial"/>
          <w:bCs/>
          <w:sz w:val="20"/>
          <w:szCs w:val="20"/>
          <w:lang w:eastAsia="es-ES"/>
        </w:rPr>
      </w:pPr>
      <w:r w:rsidRPr="00233ACA">
        <w:rPr>
          <w:rFonts w:ascii="Arial" w:eastAsia="Times New Roman" w:hAnsi="Arial" w:cs="Arial"/>
          <w:sz w:val="20"/>
          <w:szCs w:val="20"/>
          <w:lang w:eastAsia="es-ES"/>
        </w:rPr>
        <w:t>Seguidamente</w:t>
      </w:r>
      <w:r w:rsidRPr="00233ACA">
        <w:rPr>
          <w:rFonts w:ascii="Arial" w:eastAsia="Times New Roman" w:hAnsi="Arial"/>
          <w:bCs/>
          <w:sz w:val="20"/>
          <w:szCs w:val="20"/>
          <w:lang w:eastAsia="es-ES"/>
        </w:rPr>
        <w:t xml:space="preserve"> se muestra el detalle de lo actuado a diciembre 2017, en  las disposiciones emitidas por la Contraloría General de la República (CGR), a partir del 2015.</w:t>
      </w:r>
    </w:p>
    <w:p w:rsidR="004402A5" w:rsidRPr="00233ACA" w:rsidRDefault="004402A5" w:rsidP="00233ACA">
      <w:pPr>
        <w:pStyle w:val="Ttulo2"/>
        <w:keepLines w:val="0"/>
        <w:spacing w:before="240" w:after="60" w:line="240" w:lineRule="auto"/>
        <w:jc w:val="both"/>
        <w:rPr>
          <w:rFonts w:ascii="Arial" w:eastAsia="Times New Roman" w:hAnsi="Arial" w:cs="Times New Roman"/>
          <w:bCs w:val="0"/>
          <w:color w:val="auto"/>
          <w:sz w:val="20"/>
          <w:szCs w:val="20"/>
          <w:lang w:eastAsia="es-ES"/>
        </w:rPr>
      </w:pPr>
      <w:r w:rsidRPr="00233ACA">
        <w:rPr>
          <w:rFonts w:ascii="Arial" w:eastAsia="Times New Roman" w:hAnsi="Arial" w:cs="Times New Roman"/>
          <w:bCs w:val="0"/>
          <w:color w:val="auto"/>
          <w:sz w:val="20"/>
          <w:szCs w:val="20"/>
          <w:lang w:eastAsia="es-ES"/>
        </w:rPr>
        <w:t xml:space="preserve"> </w:t>
      </w:r>
    </w:p>
    <w:p w:rsidR="004402A5" w:rsidRPr="004402A5" w:rsidRDefault="004402A5" w:rsidP="004402A5">
      <w:pPr>
        <w:spacing w:after="0" w:line="240" w:lineRule="auto"/>
        <w:jc w:val="center"/>
        <w:rPr>
          <w:rFonts w:ascii="Arial" w:eastAsia="Times New Roman" w:hAnsi="Arial" w:cs="Arial"/>
          <w:b/>
          <w:sz w:val="20"/>
          <w:szCs w:val="20"/>
          <w:lang w:eastAsia="es-ES"/>
        </w:rPr>
      </w:pPr>
      <w:r w:rsidRPr="004402A5">
        <w:rPr>
          <w:rFonts w:ascii="Arial" w:eastAsia="Times New Roman" w:hAnsi="Arial" w:cs="Arial"/>
          <w:b/>
          <w:sz w:val="20"/>
          <w:szCs w:val="20"/>
          <w:lang w:eastAsia="es-ES"/>
        </w:rPr>
        <w:t>Tabla 9 Disposiciones de la Contraloría General de la República</w:t>
      </w:r>
    </w:p>
    <w:p w:rsidR="004402A5" w:rsidRPr="004402A5" w:rsidRDefault="004402A5" w:rsidP="004402A5">
      <w:pPr>
        <w:spacing w:after="0" w:line="240" w:lineRule="auto"/>
        <w:jc w:val="center"/>
        <w:rPr>
          <w:rFonts w:ascii="Arial" w:eastAsia="Times New Roman" w:hAnsi="Arial" w:cs="Arial"/>
          <w:sz w:val="20"/>
          <w:szCs w:val="20"/>
          <w:lang w:eastAsia="es-ES"/>
        </w:rPr>
      </w:pPr>
    </w:p>
    <w:tbl>
      <w:tblPr>
        <w:tblW w:w="10988" w:type="dxa"/>
        <w:tblInd w:w="-1069" w:type="dxa"/>
        <w:tblBorders>
          <w:top w:val="single" w:sz="12" w:space="0" w:color="000000"/>
          <w:bottom w:val="single" w:sz="12" w:space="0" w:color="000000"/>
          <w:insideH w:val="single" w:sz="6" w:space="0" w:color="000000"/>
        </w:tblBorders>
        <w:tblLook w:val="04A0" w:firstRow="1" w:lastRow="0" w:firstColumn="1" w:lastColumn="0" w:noHBand="0" w:noVBand="1"/>
      </w:tblPr>
      <w:tblGrid>
        <w:gridCol w:w="3055"/>
        <w:gridCol w:w="4442"/>
        <w:gridCol w:w="3491"/>
      </w:tblGrid>
      <w:tr w:rsidR="004402A5" w:rsidRPr="00233ACA" w:rsidTr="00746DC0">
        <w:trPr>
          <w:trHeight w:val="167"/>
        </w:trPr>
        <w:tc>
          <w:tcPr>
            <w:tcW w:w="3055" w:type="dxa"/>
            <w:tcBorders>
              <w:bottom w:val="single" w:sz="12" w:space="0" w:color="000000"/>
            </w:tcBorders>
            <w:shd w:val="clear" w:color="auto" w:fill="auto"/>
          </w:tcPr>
          <w:p w:rsidR="004402A5" w:rsidRPr="00233ACA" w:rsidRDefault="004402A5" w:rsidP="004402A5">
            <w:pPr>
              <w:spacing w:after="0" w:line="240" w:lineRule="auto"/>
              <w:jc w:val="center"/>
              <w:rPr>
                <w:rFonts w:ascii="Arial" w:eastAsia="Times New Roman" w:hAnsi="Arial" w:cs="Arial"/>
                <w:b/>
                <w:sz w:val="20"/>
                <w:szCs w:val="20"/>
                <w:lang w:eastAsia="es-ES"/>
              </w:rPr>
            </w:pPr>
            <w:r w:rsidRPr="00233ACA">
              <w:rPr>
                <w:rFonts w:ascii="Arial" w:eastAsia="Times New Roman" w:hAnsi="Arial" w:cs="Arial"/>
                <w:b/>
                <w:sz w:val="20"/>
                <w:szCs w:val="20"/>
                <w:lang w:eastAsia="es-ES"/>
              </w:rPr>
              <w:t>N° de Disposición</w:t>
            </w:r>
          </w:p>
        </w:tc>
        <w:tc>
          <w:tcPr>
            <w:tcW w:w="4442" w:type="dxa"/>
            <w:tcBorders>
              <w:bottom w:val="single" w:sz="12" w:space="0" w:color="000000"/>
            </w:tcBorders>
            <w:shd w:val="clear" w:color="auto" w:fill="auto"/>
          </w:tcPr>
          <w:p w:rsidR="004402A5" w:rsidRPr="00233ACA" w:rsidRDefault="004402A5" w:rsidP="004402A5">
            <w:pPr>
              <w:spacing w:after="0" w:line="240" w:lineRule="auto"/>
              <w:jc w:val="center"/>
              <w:rPr>
                <w:rFonts w:ascii="Arial" w:eastAsia="Times New Roman" w:hAnsi="Arial" w:cs="Arial"/>
                <w:b/>
                <w:sz w:val="20"/>
                <w:szCs w:val="20"/>
                <w:lang w:eastAsia="es-ES"/>
              </w:rPr>
            </w:pPr>
            <w:r w:rsidRPr="00233ACA">
              <w:rPr>
                <w:rFonts w:ascii="Arial" w:eastAsia="Times New Roman" w:hAnsi="Arial" w:cs="Arial"/>
                <w:b/>
                <w:sz w:val="20"/>
                <w:szCs w:val="20"/>
                <w:lang w:eastAsia="es-ES"/>
              </w:rPr>
              <w:t>Generalidades de la disposición</w:t>
            </w:r>
          </w:p>
        </w:tc>
        <w:tc>
          <w:tcPr>
            <w:tcW w:w="3491" w:type="dxa"/>
            <w:tcBorders>
              <w:bottom w:val="single" w:sz="12" w:space="0" w:color="000000"/>
            </w:tcBorders>
            <w:shd w:val="clear" w:color="auto" w:fill="auto"/>
          </w:tcPr>
          <w:p w:rsidR="004402A5" w:rsidRPr="00233ACA" w:rsidRDefault="004402A5" w:rsidP="004402A5">
            <w:pPr>
              <w:spacing w:after="0" w:line="240" w:lineRule="auto"/>
              <w:jc w:val="center"/>
              <w:rPr>
                <w:rFonts w:ascii="Arial" w:eastAsia="Times New Roman" w:hAnsi="Arial" w:cs="Arial"/>
                <w:b/>
                <w:sz w:val="20"/>
                <w:szCs w:val="20"/>
                <w:lang w:eastAsia="es-ES"/>
              </w:rPr>
            </w:pPr>
            <w:r w:rsidRPr="00233ACA">
              <w:rPr>
                <w:rFonts w:ascii="Arial" w:eastAsia="Times New Roman" w:hAnsi="Arial" w:cs="Arial"/>
                <w:b/>
                <w:sz w:val="20"/>
                <w:szCs w:val="20"/>
                <w:lang w:eastAsia="es-ES"/>
              </w:rPr>
              <w:t>Estado</w:t>
            </w:r>
          </w:p>
          <w:p w:rsidR="004402A5" w:rsidRPr="00233ACA" w:rsidRDefault="004402A5" w:rsidP="004402A5">
            <w:pPr>
              <w:spacing w:after="0" w:line="240" w:lineRule="auto"/>
              <w:jc w:val="center"/>
              <w:rPr>
                <w:rFonts w:ascii="Arial" w:eastAsia="Times New Roman" w:hAnsi="Arial" w:cs="Arial"/>
                <w:b/>
                <w:sz w:val="20"/>
                <w:szCs w:val="20"/>
                <w:lang w:eastAsia="es-ES"/>
              </w:rPr>
            </w:pPr>
          </w:p>
        </w:tc>
      </w:tr>
      <w:tr w:rsidR="004402A5" w:rsidRPr="00233ACA" w:rsidTr="00746DC0">
        <w:trPr>
          <w:trHeight w:val="359"/>
        </w:trPr>
        <w:tc>
          <w:tcPr>
            <w:tcW w:w="10988" w:type="dxa"/>
            <w:gridSpan w:val="3"/>
            <w:shd w:val="clear" w:color="auto" w:fill="auto"/>
          </w:tcPr>
          <w:p w:rsidR="004402A5" w:rsidRPr="00233ACA" w:rsidRDefault="004402A5" w:rsidP="004402A5">
            <w:pPr>
              <w:spacing w:after="0" w:line="240" w:lineRule="auto"/>
              <w:jc w:val="both"/>
              <w:rPr>
                <w:rFonts w:ascii="Arial" w:eastAsia="Times New Roman" w:hAnsi="Arial" w:cs="Arial"/>
                <w:b/>
                <w:sz w:val="20"/>
                <w:szCs w:val="20"/>
                <w:lang w:eastAsia="es-ES"/>
              </w:rPr>
            </w:pPr>
            <w:r w:rsidRPr="00233ACA">
              <w:rPr>
                <w:rFonts w:ascii="Arial" w:eastAsia="Times New Roman" w:hAnsi="Arial" w:cs="Arial"/>
                <w:b/>
                <w:sz w:val="20"/>
                <w:szCs w:val="20"/>
                <w:lang w:eastAsia="es-ES"/>
              </w:rPr>
              <w:t>DFOE-AE-05-2013 Auditoría Financiera en el Instituto Nacional de Vivienda y Urbanismo (INVU)</w:t>
            </w:r>
          </w:p>
        </w:tc>
      </w:tr>
      <w:tr w:rsidR="004402A5" w:rsidRPr="00233ACA" w:rsidTr="00746DC0">
        <w:trPr>
          <w:trHeight w:val="167"/>
        </w:trPr>
        <w:tc>
          <w:tcPr>
            <w:tcW w:w="3055" w:type="dxa"/>
            <w:shd w:val="clear" w:color="auto" w:fill="auto"/>
          </w:tcPr>
          <w:p w:rsidR="004402A5" w:rsidRPr="00233ACA" w:rsidRDefault="004402A5" w:rsidP="004402A5">
            <w:pPr>
              <w:spacing w:after="0" w:line="240" w:lineRule="auto"/>
              <w:jc w:val="both"/>
              <w:rPr>
                <w:rFonts w:ascii="Arial" w:eastAsia="Times New Roman" w:hAnsi="Arial" w:cs="Arial"/>
                <w:sz w:val="20"/>
                <w:szCs w:val="20"/>
                <w:lang w:eastAsia="es-ES"/>
              </w:rPr>
            </w:pPr>
            <w:r w:rsidRPr="00233ACA">
              <w:rPr>
                <w:rFonts w:ascii="Arial" w:eastAsia="Times New Roman" w:hAnsi="Arial" w:cs="Arial"/>
                <w:sz w:val="20"/>
                <w:szCs w:val="20"/>
                <w:lang w:eastAsia="es-ES"/>
              </w:rPr>
              <w:t>4.4</w:t>
            </w:r>
          </w:p>
        </w:tc>
        <w:tc>
          <w:tcPr>
            <w:tcW w:w="4442" w:type="dxa"/>
            <w:shd w:val="clear" w:color="auto" w:fill="auto"/>
          </w:tcPr>
          <w:p w:rsidR="004402A5" w:rsidRPr="00233ACA" w:rsidRDefault="004402A5" w:rsidP="004402A5">
            <w:pPr>
              <w:spacing w:after="0" w:line="240" w:lineRule="auto"/>
              <w:jc w:val="both"/>
              <w:rPr>
                <w:rFonts w:ascii="Arial" w:eastAsia="Times New Roman" w:hAnsi="Arial" w:cs="Arial"/>
                <w:sz w:val="20"/>
                <w:szCs w:val="20"/>
                <w:lang w:eastAsia="es-ES"/>
              </w:rPr>
            </w:pPr>
            <w:r w:rsidRPr="00233ACA">
              <w:rPr>
                <w:rFonts w:ascii="Arial" w:eastAsia="Times New Roman" w:hAnsi="Arial" w:cs="Arial"/>
                <w:sz w:val="20"/>
                <w:szCs w:val="20"/>
                <w:lang w:eastAsia="es-ES"/>
              </w:rPr>
              <w:t>Elaboración del Auxiliar de Terrenos</w:t>
            </w:r>
          </w:p>
        </w:tc>
        <w:tc>
          <w:tcPr>
            <w:tcW w:w="3491" w:type="dxa"/>
            <w:shd w:val="clear" w:color="auto" w:fill="auto"/>
          </w:tcPr>
          <w:p w:rsidR="004402A5" w:rsidRPr="00233ACA" w:rsidRDefault="004402A5" w:rsidP="004402A5">
            <w:pPr>
              <w:spacing w:after="0" w:line="240" w:lineRule="auto"/>
              <w:jc w:val="both"/>
              <w:rPr>
                <w:rFonts w:ascii="Arial" w:eastAsia="Times New Roman" w:hAnsi="Arial" w:cs="Arial"/>
                <w:sz w:val="20"/>
                <w:szCs w:val="20"/>
                <w:lang w:eastAsia="es-ES"/>
              </w:rPr>
            </w:pPr>
            <w:r w:rsidRPr="00233ACA">
              <w:rPr>
                <w:rFonts w:ascii="Arial" w:eastAsia="Times New Roman" w:hAnsi="Arial" w:cs="Arial"/>
                <w:sz w:val="20"/>
                <w:szCs w:val="20"/>
                <w:lang w:eastAsia="es-ES"/>
              </w:rPr>
              <w:t>Finalizado y comunicado por parte de la Contraloría General de la República mediante oficio DFOE-SD-1622(12388) (22/09/2016), después de que ese Ente Contralor verificó en visita de campo que se creó la herramienta de terrenos y se encuentra cargada en un 61.7% del total de los terrenos de INVU.</w:t>
            </w:r>
          </w:p>
          <w:p w:rsidR="004402A5" w:rsidRPr="00233ACA" w:rsidRDefault="004402A5" w:rsidP="004402A5">
            <w:pPr>
              <w:spacing w:after="0" w:line="240" w:lineRule="auto"/>
              <w:jc w:val="both"/>
              <w:rPr>
                <w:rFonts w:ascii="Arial" w:eastAsia="Times New Roman" w:hAnsi="Arial" w:cs="Arial"/>
                <w:sz w:val="20"/>
                <w:szCs w:val="20"/>
                <w:lang w:eastAsia="es-ES"/>
              </w:rPr>
            </w:pPr>
          </w:p>
        </w:tc>
      </w:tr>
      <w:tr w:rsidR="004402A5" w:rsidRPr="00233ACA" w:rsidTr="00746DC0">
        <w:trPr>
          <w:trHeight w:val="1485"/>
        </w:trPr>
        <w:tc>
          <w:tcPr>
            <w:tcW w:w="3055" w:type="dxa"/>
            <w:shd w:val="clear" w:color="auto" w:fill="auto"/>
          </w:tcPr>
          <w:p w:rsidR="004402A5" w:rsidRPr="00233ACA" w:rsidRDefault="004402A5" w:rsidP="004402A5">
            <w:pPr>
              <w:spacing w:after="0" w:line="240" w:lineRule="auto"/>
              <w:jc w:val="both"/>
              <w:rPr>
                <w:rFonts w:ascii="Arial" w:eastAsia="Times New Roman" w:hAnsi="Arial" w:cs="Arial"/>
                <w:sz w:val="20"/>
                <w:szCs w:val="20"/>
                <w:lang w:eastAsia="es-ES"/>
              </w:rPr>
            </w:pPr>
            <w:r w:rsidRPr="00233ACA">
              <w:rPr>
                <w:rFonts w:ascii="Arial" w:eastAsia="Times New Roman" w:hAnsi="Arial" w:cs="Arial"/>
                <w:sz w:val="20"/>
                <w:szCs w:val="20"/>
                <w:lang w:eastAsia="es-ES"/>
              </w:rPr>
              <w:t>4.7</w:t>
            </w:r>
          </w:p>
        </w:tc>
        <w:tc>
          <w:tcPr>
            <w:tcW w:w="4442" w:type="dxa"/>
            <w:shd w:val="clear" w:color="auto" w:fill="auto"/>
          </w:tcPr>
          <w:p w:rsidR="004402A5" w:rsidRPr="00233ACA" w:rsidRDefault="004402A5" w:rsidP="004402A5">
            <w:pPr>
              <w:spacing w:after="0" w:line="240" w:lineRule="auto"/>
              <w:jc w:val="both"/>
              <w:rPr>
                <w:rFonts w:ascii="Arial" w:eastAsia="Times New Roman" w:hAnsi="Arial" w:cs="Arial"/>
                <w:sz w:val="20"/>
                <w:szCs w:val="20"/>
                <w:lang w:eastAsia="es-ES"/>
              </w:rPr>
            </w:pPr>
            <w:r w:rsidRPr="00233ACA">
              <w:rPr>
                <w:rFonts w:ascii="Arial" w:eastAsia="Times New Roman" w:hAnsi="Arial" w:cs="Arial"/>
                <w:sz w:val="20"/>
                <w:szCs w:val="20"/>
                <w:lang w:eastAsia="es-ES"/>
              </w:rPr>
              <w:t>Estrategia de Cobro</w:t>
            </w:r>
          </w:p>
        </w:tc>
        <w:tc>
          <w:tcPr>
            <w:tcW w:w="3491" w:type="dxa"/>
            <w:shd w:val="clear" w:color="auto" w:fill="auto"/>
          </w:tcPr>
          <w:p w:rsidR="004402A5" w:rsidRPr="00233ACA" w:rsidRDefault="004402A5" w:rsidP="004402A5">
            <w:pPr>
              <w:spacing w:after="0" w:line="240" w:lineRule="auto"/>
              <w:jc w:val="both"/>
              <w:rPr>
                <w:rFonts w:ascii="Arial" w:eastAsia="Times New Roman" w:hAnsi="Arial" w:cs="Arial"/>
                <w:sz w:val="20"/>
                <w:szCs w:val="20"/>
                <w:lang w:eastAsia="es-ES"/>
              </w:rPr>
            </w:pPr>
            <w:r w:rsidRPr="00233ACA">
              <w:rPr>
                <w:rFonts w:ascii="Arial" w:eastAsia="Times New Roman" w:hAnsi="Arial" w:cs="Arial"/>
                <w:sz w:val="20"/>
                <w:szCs w:val="20"/>
                <w:lang w:eastAsia="es-ES"/>
              </w:rPr>
              <w:t>Finalizado y comunicado por parte de la Contraloría General de la República mediante oficio DFOE-SD-0704. (OficioNo.03689)(27/03/2017).</w:t>
            </w:r>
          </w:p>
          <w:p w:rsidR="004402A5" w:rsidRPr="00233ACA" w:rsidRDefault="004402A5" w:rsidP="004402A5">
            <w:pPr>
              <w:spacing w:after="0" w:line="240" w:lineRule="auto"/>
              <w:jc w:val="both"/>
              <w:rPr>
                <w:rFonts w:ascii="Arial" w:eastAsia="Times New Roman" w:hAnsi="Arial" w:cs="Arial"/>
                <w:sz w:val="20"/>
                <w:szCs w:val="20"/>
                <w:lang w:eastAsia="es-ES"/>
              </w:rPr>
            </w:pPr>
          </w:p>
        </w:tc>
      </w:tr>
      <w:tr w:rsidR="004402A5" w:rsidRPr="00233ACA" w:rsidTr="00746DC0">
        <w:trPr>
          <w:trHeight w:val="167"/>
        </w:trPr>
        <w:tc>
          <w:tcPr>
            <w:tcW w:w="3055" w:type="dxa"/>
            <w:shd w:val="clear" w:color="auto" w:fill="auto"/>
          </w:tcPr>
          <w:p w:rsidR="004402A5" w:rsidRPr="00233ACA" w:rsidRDefault="004402A5" w:rsidP="004402A5">
            <w:pPr>
              <w:spacing w:after="0" w:line="240" w:lineRule="auto"/>
              <w:jc w:val="both"/>
              <w:rPr>
                <w:rFonts w:ascii="Arial" w:eastAsia="Times New Roman" w:hAnsi="Arial" w:cs="Arial"/>
                <w:sz w:val="20"/>
                <w:szCs w:val="20"/>
                <w:lang w:eastAsia="es-ES"/>
              </w:rPr>
            </w:pPr>
            <w:r w:rsidRPr="00233ACA">
              <w:rPr>
                <w:rFonts w:ascii="Arial" w:eastAsia="Times New Roman" w:hAnsi="Arial" w:cs="Arial"/>
                <w:sz w:val="20"/>
                <w:szCs w:val="20"/>
                <w:lang w:eastAsia="es-ES"/>
              </w:rPr>
              <w:t>4.10</w:t>
            </w:r>
          </w:p>
        </w:tc>
        <w:tc>
          <w:tcPr>
            <w:tcW w:w="4442" w:type="dxa"/>
            <w:shd w:val="clear" w:color="auto" w:fill="auto"/>
          </w:tcPr>
          <w:p w:rsidR="004402A5" w:rsidRPr="00233ACA" w:rsidRDefault="004402A5" w:rsidP="004402A5">
            <w:pPr>
              <w:spacing w:after="0" w:line="240" w:lineRule="auto"/>
              <w:jc w:val="both"/>
              <w:rPr>
                <w:rFonts w:ascii="Arial" w:eastAsia="Times New Roman" w:hAnsi="Arial" w:cs="Arial"/>
                <w:sz w:val="20"/>
                <w:szCs w:val="20"/>
                <w:lang w:eastAsia="es-ES"/>
              </w:rPr>
            </w:pPr>
            <w:r w:rsidRPr="00233ACA">
              <w:rPr>
                <w:rFonts w:ascii="Arial" w:eastAsia="Times New Roman" w:hAnsi="Arial" w:cs="Arial"/>
                <w:sz w:val="20"/>
                <w:szCs w:val="20"/>
                <w:lang w:eastAsia="es-ES"/>
              </w:rPr>
              <w:t>Ajustar las cuentas por cobrar y por pagar</w:t>
            </w:r>
          </w:p>
          <w:p w:rsidR="004402A5" w:rsidRPr="00233ACA" w:rsidRDefault="004402A5" w:rsidP="004402A5">
            <w:pPr>
              <w:spacing w:after="0" w:line="240" w:lineRule="auto"/>
              <w:jc w:val="both"/>
              <w:rPr>
                <w:rFonts w:ascii="Arial" w:eastAsia="Times New Roman" w:hAnsi="Arial" w:cs="Arial"/>
                <w:sz w:val="20"/>
                <w:szCs w:val="20"/>
                <w:lang w:eastAsia="es-ES"/>
              </w:rPr>
            </w:pPr>
          </w:p>
        </w:tc>
        <w:tc>
          <w:tcPr>
            <w:tcW w:w="3491" w:type="dxa"/>
            <w:vMerge w:val="restart"/>
            <w:shd w:val="clear" w:color="auto" w:fill="auto"/>
          </w:tcPr>
          <w:p w:rsidR="004402A5" w:rsidRPr="00233ACA" w:rsidRDefault="004402A5" w:rsidP="004402A5">
            <w:pPr>
              <w:spacing w:after="0" w:line="240" w:lineRule="auto"/>
              <w:jc w:val="both"/>
              <w:rPr>
                <w:rFonts w:ascii="Arial" w:eastAsia="Times New Roman" w:hAnsi="Arial" w:cs="Arial"/>
                <w:sz w:val="20"/>
                <w:szCs w:val="20"/>
                <w:lang w:eastAsia="es-ES"/>
              </w:rPr>
            </w:pPr>
            <w:r w:rsidRPr="00233ACA">
              <w:rPr>
                <w:rFonts w:ascii="Arial" w:eastAsia="Times New Roman" w:hAnsi="Arial" w:cs="Arial"/>
                <w:sz w:val="20"/>
                <w:szCs w:val="20"/>
                <w:lang w:eastAsia="es-ES"/>
              </w:rPr>
              <w:t>La Unidad de Finanzas informó ante el Ente Contralor el cumplimiento de esta disposición mediante oficio</w:t>
            </w:r>
            <w:r w:rsidRPr="00233ACA">
              <w:rPr>
                <w:rFonts w:ascii="Arial" w:eastAsia="Times New Roman" w:hAnsi="Arial" w:cs="Arial"/>
                <w:sz w:val="20"/>
                <w:szCs w:val="20"/>
                <w:lang w:eastAsia="es-ES"/>
              </w:rPr>
              <w:br/>
              <w:t>DAF-408-2017, de fecha 30 de noviembre 2017.</w:t>
            </w:r>
          </w:p>
          <w:p w:rsidR="004402A5" w:rsidRPr="00233ACA" w:rsidRDefault="004402A5" w:rsidP="004402A5">
            <w:pPr>
              <w:spacing w:after="0" w:line="240" w:lineRule="auto"/>
              <w:jc w:val="both"/>
              <w:rPr>
                <w:rFonts w:ascii="Arial" w:eastAsia="Times New Roman" w:hAnsi="Arial" w:cs="Arial"/>
                <w:sz w:val="20"/>
                <w:szCs w:val="20"/>
                <w:lang w:eastAsia="es-ES"/>
              </w:rPr>
            </w:pPr>
          </w:p>
        </w:tc>
      </w:tr>
      <w:tr w:rsidR="004402A5" w:rsidRPr="00233ACA" w:rsidTr="00746DC0">
        <w:trPr>
          <w:trHeight w:val="789"/>
        </w:trPr>
        <w:tc>
          <w:tcPr>
            <w:tcW w:w="3055" w:type="dxa"/>
            <w:shd w:val="clear" w:color="auto" w:fill="auto"/>
          </w:tcPr>
          <w:p w:rsidR="004402A5" w:rsidRPr="00233ACA" w:rsidRDefault="004402A5" w:rsidP="004402A5">
            <w:pPr>
              <w:spacing w:after="0" w:line="240" w:lineRule="auto"/>
              <w:jc w:val="both"/>
              <w:rPr>
                <w:rFonts w:ascii="Arial" w:eastAsia="Times New Roman" w:hAnsi="Arial" w:cs="Arial"/>
                <w:sz w:val="20"/>
                <w:szCs w:val="20"/>
                <w:lang w:eastAsia="es-ES"/>
              </w:rPr>
            </w:pPr>
            <w:r w:rsidRPr="00233ACA">
              <w:rPr>
                <w:rFonts w:ascii="Arial" w:eastAsia="Times New Roman" w:hAnsi="Arial" w:cs="Arial"/>
                <w:sz w:val="20"/>
                <w:szCs w:val="20"/>
                <w:lang w:eastAsia="es-ES"/>
              </w:rPr>
              <w:t>4.11</w:t>
            </w:r>
          </w:p>
        </w:tc>
        <w:tc>
          <w:tcPr>
            <w:tcW w:w="4442" w:type="dxa"/>
            <w:shd w:val="clear" w:color="auto" w:fill="auto"/>
          </w:tcPr>
          <w:p w:rsidR="004402A5" w:rsidRPr="00233ACA" w:rsidRDefault="004402A5" w:rsidP="004402A5">
            <w:pPr>
              <w:spacing w:after="0" w:line="240" w:lineRule="auto"/>
              <w:jc w:val="both"/>
              <w:rPr>
                <w:rFonts w:ascii="Arial" w:eastAsia="Times New Roman" w:hAnsi="Arial" w:cs="Arial"/>
                <w:sz w:val="20"/>
                <w:szCs w:val="20"/>
                <w:lang w:eastAsia="es-ES"/>
              </w:rPr>
            </w:pPr>
            <w:r w:rsidRPr="00233ACA">
              <w:rPr>
                <w:rFonts w:ascii="Arial" w:eastAsia="Times New Roman" w:hAnsi="Arial" w:cs="Arial"/>
                <w:sz w:val="20"/>
                <w:szCs w:val="20"/>
                <w:lang w:eastAsia="es-ES"/>
              </w:rPr>
              <w:t>Elaborar el auxiliar de las cuentas indicadas en la disposición 4.10</w:t>
            </w:r>
          </w:p>
          <w:p w:rsidR="004402A5" w:rsidRPr="00233ACA" w:rsidRDefault="004402A5" w:rsidP="004402A5">
            <w:pPr>
              <w:spacing w:after="0" w:line="240" w:lineRule="auto"/>
              <w:jc w:val="both"/>
              <w:rPr>
                <w:rFonts w:ascii="Arial" w:eastAsia="Times New Roman" w:hAnsi="Arial" w:cs="Arial"/>
                <w:sz w:val="20"/>
                <w:szCs w:val="20"/>
                <w:lang w:eastAsia="es-ES"/>
              </w:rPr>
            </w:pPr>
          </w:p>
        </w:tc>
        <w:tc>
          <w:tcPr>
            <w:tcW w:w="3491" w:type="dxa"/>
            <w:vMerge/>
            <w:shd w:val="clear" w:color="auto" w:fill="auto"/>
          </w:tcPr>
          <w:p w:rsidR="004402A5" w:rsidRPr="00233ACA" w:rsidRDefault="004402A5" w:rsidP="004402A5">
            <w:pPr>
              <w:spacing w:after="0" w:line="240" w:lineRule="auto"/>
              <w:jc w:val="both"/>
              <w:rPr>
                <w:rFonts w:ascii="Arial" w:eastAsia="Times New Roman" w:hAnsi="Arial" w:cs="Arial"/>
                <w:sz w:val="20"/>
                <w:szCs w:val="20"/>
                <w:lang w:eastAsia="es-ES"/>
              </w:rPr>
            </w:pPr>
          </w:p>
        </w:tc>
      </w:tr>
      <w:tr w:rsidR="004402A5" w:rsidRPr="00233ACA" w:rsidTr="00746DC0">
        <w:trPr>
          <w:trHeight w:val="167"/>
        </w:trPr>
        <w:tc>
          <w:tcPr>
            <w:tcW w:w="3055" w:type="dxa"/>
            <w:shd w:val="clear" w:color="auto" w:fill="auto"/>
          </w:tcPr>
          <w:p w:rsidR="004402A5" w:rsidRPr="00233ACA" w:rsidRDefault="004402A5" w:rsidP="004402A5">
            <w:pPr>
              <w:spacing w:after="0" w:line="240" w:lineRule="auto"/>
              <w:jc w:val="both"/>
              <w:rPr>
                <w:rFonts w:ascii="Arial" w:eastAsia="Times New Roman" w:hAnsi="Arial" w:cs="Arial"/>
                <w:sz w:val="20"/>
                <w:szCs w:val="20"/>
                <w:lang w:eastAsia="es-ES"/>
              </w:rPr>
            </w:pPr>
            <w:r w:rsidRPr="00233ACA">
              <w:rPr>
                <w:rFonts w:ascii="Arial" w:eastAsia="Times New Roman" w:hAnsi="Arial" w:cs="Arial"/>
                <w:sz w:val="20"/>
                <w:szCs w:val="20"/>
                <w:lang w:eastAsia="es-ES"/>
              </w:rPr>
              <w:t>4.13</w:t>
            </w:r>
          </w:p>
        </w:tc>
        <w:tc>
          <w:tcPr>
            <w:tcW w:w="4442" w:type="dxa"/>
            <w:shd w:val="clear" w:color="auto" w:fill="auto"/>
          </w:tcPr>
          <w:p w:rsidR="004402A5" w:rsidRPr="00233ACA" w:rsidRDefault="004402A5" w:rsidP="004402A5">
            <w:pPr>
              <w:spacing w:after="0" w:line="240" w:lineRule="auto"/>
              <w:jc w:val="both"/>
              <w:rPr>
                <w:rFonts w:ascii="Arial" w:eastAsia="Times New Roman" w:hAnsi="Arial" w:cs="Arial"/>
                <w:sz w:val="20"/>
                <w:szCs w:val="20"/>
                <w:lang w:eastAsia="es-ES"/>
              </w:rPr>
            </w:pPr>
            <w:r w:rsidRPr="00233ACA">
              <w:rPr>
                <w:rFonts w:ascii="Arial" w:eastAsia="Times New Roman" w:hAnsi="Arial" w:cs="Arial"/>
                <w:sz w:val="20"/>
                <w:szCs w:val="20"/>
                <w:lang w:eastAsia="es-ES"/>
              </w:rPr>
              <w:t>Eliminar la cuenta Escrituras en trámite y trasladar los registros a escrituras formalizadas, a la cartera de créditos del SAP.</w:t>
            </w:r>
          </w:p>
          <w:p w:rsidR="004402A5" w:rsidRPr="00233ACA" w:rsidRDefault="004402A5" w:rsidP="004402A5">
            <w:pPr>
              <w:spacing w:after="0" w:line="240" w:lineRule="auto"/>
              <w:jc w:val="both"/>
              <w:rPr>
                <w:rFonts w:ascii="Arial" w:eastAsia="Times New Roman" w:hAnsi="Arial" w:cs="Arial"/>
                <w:sz w:val="20"/>
                <w:szCs w:val="20"/>
                <w:lang w:eastAsia="es-ES"/>
              </w:rPr>
            </w:pPr>
          </w:p>
        </w:tc>
        <w:tc>
          <w:tcPr>
            <w:tcW w:w="3491" w:type="dxa"/>
            <w:vMerge/>
            <w:shd w:val="clear" w:color="auto" w:fill="auto"/>
          </w:tcPr>
          <w:p w:rsidR="004402A5" w:rsidRPr="00233ACA" w:rsidRDefault="004402A5" w:rsidP="004402A5">
            <w:pPr>
              <w:spacing w:after="0" w:line="240" w:lineRule="auto"/>
              <w:jc w:val="both"/>
              <w:rPr>
                <w:rFonts w:ascii="Arial" w:eastAsia="Times New Roman" w:hAnsi="Arial" w:cs="Arial"/>
                <w:sz w:val="20"/>
                <w:szCs w:val="20"/>
                <w:lang w:eastAsia="es-ES"/>
              </w:rPr>
            </w:pPr>
          </w:p>
        </w:tc>
      </w:tr>
      <w:tr w:rsidR="004402A5" w:rsidRPr="00233ACA" w:rsidTr="00746DC0">
        <w:trPr>
          <w:trHeight w:val="167"/>
        </w:trPr>
        <w:tc>
          <w:tcPr>
            <w:tcW w:w="10988" w:type="dxa"/>
            <w:gridSpan w:val="3"/>
            <w:shd w:val="clear" w:color="auto" w:fill="auto"/>
          </w:tcPr>
          <w:p w:rsidR="004402A5" w:rsidRPr="00233ACA" w:rsidRDefault="004402A5" w:rsidP="004402A5">
            <w:pPr>
              <w:spacing w:after="0" w:line="240" w:lineRule="auto"/>
              <w:jc w:val="both"/>
              <w:rPr>
                <w:rFonts w:ascii="Arial" w:eastAsia="Times New Roman" w:hAnsi="Arial" w:cs="Arial"/>
                <w:b/>
                <w:sz w:val="20"/>
                <w:szCs w:val="20"/>
                <w:lang w:eastAsia="es-ES"/>
              </w:rPr>
            </w:pPr>
            <w:r w:rsidRPr="00233ACA">
              <w:rPr>
                <w:rFonts w:ascii="Arial" w:eastAsia="Times New Roman" w:hAnsi="Arial" w:cs="Arial"/>
                <w:b/>
                <w:sz w:val="20"/>
                <w:szCs w:val="20"/>
                <w:lang w:eastAsia="es-ES"/>
              </w:rPr>
              <w:t>DFOE-AE-IF-08-2014 Auditoría Financiera Forense acerca de la Recaudación, Registro y Aplicación de los Ingresos del Sistema de Ahorro y Préstamo del Instituto Nacional de Vivienda y Urbanismo (INVU)</w:t>
            </w:r>
          </w:p>
          <w:p w:rsidR="004402A5" w:rsidRPr="00233ACA" w:rsidRDefault="004402A5" w:rsidP="004402A5">
            <w:pPr>
              <w:spacing w:after="0" w:line="240" w:lineRule="auto"/>
              <w:jc w:val="both"/>
              <w:rPr>
                <w:rFonts w:ascii="Arial" w:eastAsia="Times New Roman" w:hAnsi="Arial" w:cs="Arial"/>
                <w:sz w:val="20"/>
                <w:szCs w:val="20"/>
                <w:lang w:eastAsia="es-ES"/>
              </w:rPr>
            </w:pPr>
          </w:p>
        </w:tc>
      </w:tr>
      <w:tr w:rsidR="004402A5" w:rsidRPr="00233ACA" w:rsidTr="00746DC0">
        <w:trPr>
          <w:trHeight w:val="167"/>
        </w:trPr>
        <w:tc>
          <w:tcPr>
            <w:tcW w:w="3055" w:type="dxa"/>
            <w:shd w:val="clear" w:color="auto" w:fill="auto"/>
          </w:tcPr>
          <w:p w:rsidR="004402A5" w:rsidRPr="00233ACA" w:rsidRDefault="004402A5" w:rsidP="004402A5">
            <w:pPr>
              <w:spacing w:after="0" w:line="240" w:lineRule="auto"/>
              <w:jc w:val="both"/>
              <w:rPr>
                <w:rFonts w:ascii="Arial" w:eastAsia="Times New Roman" w:hAnsi="Arial" w:cs="Arial"/>
                <w:sz w:val="20"/>
                <w:szCs w:val="20"/>
                <w:lang w:eastAsia="es-ES"/>
              </w:rPr>
            </w:pPr>
            <w:r w:rsidRPr="00233ACA">
              <w:rPr>
                <w:rFonts w:ascii="Arial" w:eastAsia="Times New Roman" w:hAnsi="Arial" w:cs="Arial"/>
                <w:sz w:val="20"/>
                <w:szCs w:val="20"/>
                <w:lang w:eastAsia="es-ES"/>
              </w:rPr>
              <w:t>4.3</w:t>
            </w:r>
          </w:p>
        </w:tc>
        <w:tc>
          <w:tcPr>
            <w:tcW w:w="4442" w:type="dxa"/>
            <w:shd w:val="clear" w:color="auto" w:fill="auto"/>
          </w:tcPr>
          <w:p w:rsidR="004402A5" w:rsidRPr="00233ACA" w:rsidRDefault="004402A5" w:rsidP="004402A5">
            <w:pPr>
              <w:spacing w:after="0" w:line="240" w:lineRule="auto"/>
              <w:jc w:val="both"/>
              <w:rPr>
                <w:rFonts w:ascii="Arial" w:eastAsia="Times New Roman" w:hAnsi="Arial" w:cs="Arial"/>
                <w:sz w:val="20"/>
                <w:szCs w:val="20"/>
                <w:lang w:eastAsia="es-ES"/>
              </w:rPr>
            </w:pPr>
            <w:r w:rsidRPr="00233ACA">
              <w:rPr>
                <w:rFonts w:ascii="Arial" w:eastAsia="Times New Roman" w:hAnsi="Arial" w:cs="Arial"/>
                <w:sz w:val="20"/>
                <w:szCs w:val="20"/>
                <w:lang w:eastAsia="es-ES"/>
              </w:rPr>
              <w:t>Consulta a la Procuraduría General de la República sobre ajustes en el Reglamento del SAP.</w:t>
            </w:r>
          </w:p>
          <w:p w:rsidR="004402A5" w:rsidRPr="00233ACA" w:rsidRDefault="004402A5" w:rsidP="004402A5">
            <w:pPr>
              <w:spacing w:after="0" w:line="240" w:lineRule="auto"/>
              <w:jc w:val="both"/>
              <w:rPr>
                <w:rFonts w:ascii="Arial" w:eastAsia="Times New Roman" w:hAnsi="Arial" w:cs="Arial"/>
                <w:sz w:val="20"/>
                <w:szCs w:val="20"/>
                <w:lang w:eastAsia="es-ES"/>
              </w:rPr>
            </w:pPr>
          </w:p>
        </w:tc>
        <w:tc>
          <w:tcPr>
            <w:tcW w:w="3491" w:type="dxa"/>
            <w:shd w:val="clear" w:color="auto" w:fill="auto"/>
          </w:tcPr>
          <w:p w:rsidR="004402A5" w:rsidRPr="00233ACA" w:rsidRDefault="004402A5" w:rsidP="004402A5">
            <w:pPr>
              <w:spacing w:after="0" w:line="240" w:lineRule="auto"/>
              <w:jc w:val="both"/>
              <w:rPr>
                <w:rFonts w:ascii="Arial" w:eastAsia="Times New Roman" w:hAnsi="Arial" w:cs="Arial"/>
                <w:sz w:val="20"/>
                <w:szCs w:val="20"/>
                <w:lang w:eastAsia="es-ES"/>
              </w:rPr>
            </w:pPr>
            <w:r w:rsidRPr="00233ACA">
              <w:rPr>
                <w:rFonts w:ascii="Arial" w:eastAsia="Times New Roman" w:hAnsi="Arial" w:cs="Arial"/>
                <w:sz w:val="20"/>
                <w:szCs w:val="20"/>
                <w:lang w:eastAsia="es-ES"/>
              </w:rPr>
              <w:t>Cumplida ante la CGR  mediante oficio DFOE-SD-2647 (18675) (16/12/2015).</w:t>
            </w:r>
          </w:p>
        </w:tc>
      </w:tr>
      <w:tr w:rsidR="004402A5" w:rsidRPr="00233ACA" w:rsidTr="00746DC0">
        <w:trPr>
          <w:trHeight w:val="167"/>
        </w:trPr>
        <w:tc>
          <w:tcPr>
            <w:tcW w:w="3055" w:type="dxa"/>
            <w:shd w:val="clear" w:color="auto" w:fill="auto"/>
          </w:tcPr>
          <w:p w:rsidR="004402A5" w:rsidRPr="00233ACA" w:rsidRDefault="004402A5" w:rsidP="004402A5">
            <w:pPr>
              <w:spacing w:after="0" w:line="240" w:lineRule="auto"/>
              <w:jc w:val="both"/>
              <w:rPr>
                <w:rFonts w:ascii="Arial" w:eastAsia="Times New Roman" w:hAnsi="Arial" w:cs="Arial"/>
                <w:sz w:val="20"/>
                <w:szCs w:val="20"/>
                <w:lang w:eastAsia="es-ES"/>
              </w:rPr>
            </w:pPr>
            <w:r w:rsidRPr="00233ACA">
              <w:rPr>
                <w:rFonts w:ascii="Arial" w:eastAsia="Times New Roman" w:hAnsi="Arial" w:cs="Arial"/>
                <w:sz w:val="20"/>
                <w:szCs w:val="20"/>
                <w:lang w:eastAsia="es-ES"/>
              </w:rPr>
              <w:t>4.4</w:t>
            </w:r>
          </w:p>
        </w:tc>
        <w:tc>
          <w:tcPr>
            <w:tcW w:w="4442" w:type="dxa"/>
            <w:shd w:val="clear" w:color="auto" w:fill="auto"/>
          </w:tcPr>
          <w:p w:rsidR="004402A5" w:rsidRPr="00233ACA" w:rsidRDefault="004402A5" w:rsidP="004402A5">
            <w:pPr>
              <w:spacing w:after="0" w:line="240" w:lineRule="auto"/>
              <w:jc w:val="both"/>
              <w:rPr>
                <w:rFonts w:ascii="Arial" w:eastAsia="Times New Roman" w:hAnsi="Arial" w:cs="Arial"/>
                <w:sz w:val="20"/>
                <w:szCs w:val="20"/>
                <w:lang w:eastAsia="es-ES"/>
              </w:rPr>
            </w:pPr>
            <w:r w:rsidRPr="00233ACA">
              <w:rPr>
                <w:rFonts w:ascii="Arial" w:eastAsia="Times New Roman" w:hAnsi="Arial" w:cs="Arial"/>
                <w:sz w:val="20"/>
                <w:szCs w:val="20"/>
                <w:lang w:eastAsia="es-ES"/>
              </w:rPr>
              <w:t xml:space="preserve">Solicitud de investigación para corroborar </w:t>
            </w:r>
            <w:r w:rsidRPr="00233ACA">
              <w:rPr>
                <w:rFonts w:ascii="Arial" w:eastAsia="Times New Roman" w:hAnsi="Arial" w:cs="Arial"/>
                <w:sz w:val="20"/>
                <w:szCs w:val="20"/>
                <w:lang w:eastAsia="es-ES"/>
              </w:rPr>
              <w:lastRenderedPageBreak/>
              <w:t>responsabilidades de funcionarios en cuanto a sobregiros en el SAP.</w:t>
            </w:r>
          </w:p>
        </w:tc>
        <w:tc>
          <w:tcPr>
            <w:tcW w:w="3491" w:type="dxa"/>
            <w:shd w:val="clear" w:color="auto" w:fill="auto"/>
          </w:tcPr>
          <w:p w:rsidR="004402A5" w:rsidRPr="00233ACA" w:rsidRDefault="004402A5" w:rsidP="004402A5">
            <w:pPr>
              <w:spacing w:after="0" w:line="240" w:lineRule="auto"/>
              <w:jc w:val="both"/>
              <w:rPr>
                <w:rFonts w:ascii="Arial" w:eastAsia="Times New Roman" w:hAnsi="Arial" w:cs="Arial"/>
                <w:sz w:val="20"/>
                <w:szCs w:val="20"/>
                <w:lang w:eastAsia="es-ES"/>
              </w:rPr>
            </w:pPr>
            <w:r w:rsidRPr="00233ACA">
              <w:rPr>
                <w:rFonts w:ascii="Arial" w:eastAsia="Times New Roman" w:hAnsi="Arial" w:cs="Arial"/>
                <w:sz w:val="20"/>
                <w:szCs w:val="20"/>
                <w:lang w:eastAsia="es-ES"/>
              </w:rPr>
              <w:lastRenderedPageBreak/>
              <w:t xml:space="preserve">Cumplida ante la CGR y </w:t>
            </w:r>
            <w:r w:rsidRPr="00233ACA">
              <w:rPr>
                <w:rFonts w:ascii="Arial" w:eastAsia="Times New Roman" w:hAnsi="Arial" w:cs="Arial"/>
                <w:sz w:val="20"/>
                <w:szCs w:val="20"/>
                <w:lang w:eastAsia="es-ES"/>
              </w:rPr>
              <w:lastRenderedPageBreak/>
              <w:t>comunicado por Gerencia General mediante oficio GG-0467-2016.</w:t>
            </w:r>
          </w:p>
          <w:p w:rsidR="004402A5" w:rsidRPr="00233ACA" w:rsidRDefault="004402A5" w:rsidP="004402A5">
            <w:pPr>
              <w:spacing w:after="0" w:line="240" w:lineRule="auto"/>
              <w:jc w:val="both"/>
              <w:rPr>
                <w:rFonts w:ascii="Arial" w:eastAsia="Times New Roman" w:hAnsi="Arial" w:cs="Arial"/>
                <w:sz w:val="20"/>
                <w:szCs w:val="20"/>
                <w:lang w:eastAsia="es-ES"/>
              </w:rPr>
            </w:pPr>
            <w:r w:rsidRPr="00233ACA">
              <w:rPr>
                <w:rFonts w:ascii="Arial" w:eastAsia="Times New Roman" w:hAnsi="Arial" w:cs="Arial"/>
                <w:sz w:val="20"/>
                <w:szCs w:val="20"/>
                <w:lang w:eastAsia="es-ES"/>
              </w:rPr>
              <w:t>Cumplimiento confirmado ante la CGR mediante oficio DFOE-SD-1470 (11756) (07/09/2016).</w:t>
            </w:r>
          </w:p>
          <w:p w:rsidR="004402A5" w:rsidRPr="00233ACA" w:rsidRDefault="004402A5" w:rsidP="004402A5">
            <w:pPr>
              <w:spacing w:after="0" w:line="240" w:lineRule="auto"/>
              <w:jc w:val="both"/>
              <w:rPr>
                <w:rFonts w:ascii="Arial" w:eastAsia="Times New Roman" w:hAnsi="Arial" w:cs="Arial"/>
                <w:sz w:val="20"/>
                <w:szCs w:val="20"/>
                <w:lang w:eastAsia="es-ES"/>
              </w:rPr>
            </w:pPr>
          </w:p>
          <w:p w:rsidR="004402A5" w:rsidRPr="00233ACA" w:rsidRDefault="004402A5" w:rsidP="004402A5">
            <w:pPr>
              <w:spacing w:after="0" w:line="240" w:lineRule="auto"/>
              <w:jc w:val="both"/>
              <w:rPr>
                <w:rFonts w:ascii="Arial" w:eastAsia="Times New Roman" w:hAnsi="Arial" w:cs="Arial"/>
                <w:sz w:val="20"/>
                <w:szCs w:val="20"/>
                <w:lang w:eastAsia="es-ES"/>
              </w:rPr>
            </w:pPr>
          </w:p>
        </w:tc>
      </w:tr>
      <w:tr w:rsidR="004402A5" w:rsidRPr="00233ACA" w:rsidTr="00746DC0">
        <w:trPr>
          <w:trHeight w:val="167"/>
        </w:trPr>
        <w:tc>
          <w:tcPr>
            <w:tcW w:w="3055" w:type="dxa"/>
            <w:shd w:val="clear" w:color="auto" w:fill="auto"/>
          </w:tcPr>
          <w:p w:rsidR="004402A5" w:rsidRPr="00233ACA" w:rsidRDefault="004402A5" w:rsidP="004402A5">
            <w:pPr>
              <w:spacing w:after="0" w:line="240" w:lineRule="auto"/>
              <w:jc w:val="both"/>
              <w:rPr>
                <w:rFonts w:ascii="Arial" w:eastAsia="Times New Roman" w:hAnsi="Arial" w:cs="Arial"/>
                <w:sz w:val="20"/>
                <w:szCs w:val="20"/>
                <w:lang w:eastAsia="es-ES"/>
              </w:rPr>
            </w:pPr>
          </w:p>
          <w:p w:rsidR="004402A5" w:rsidRPr="00233ACA" w:rsidRDefault="004402A5" w:rsidP="004402A5">
            <w:pPr>
              <w:spacing w:after="0" w:line="240" w:lineRule="auto"/>
              <w:jc w:val="both"/>
              <w:rPr>
                <w:rFonts w:ascii="Arial" w:eastAsia="Times New Roman" w:hAnsi="Arial" w:cs="Arial"/>
                <w:sz w:val="20"/>
                <w:szCs w:val="20"/>
                <w:lang w:eastAsia="es-ES"/>
              </w:rPr>
            </w:pPr>
            <w:r w:rsidRPr="00233ACA">
              <w:rPr>
                <w:rFonts w:ascii="Arial" w:eastAsia="Times New Roman" w:hAnsi="Arial" w:cs="Arial"/>
                <w:sz w:val="20"/>
                <w:szCs w:val="20"/>
                <w:lang w:eastAsia="es-ES"/>
              </w:rPr>
              <w:t>4.5</w:t>
            </w:r>
          </w:p>
        </w:tc>
        <w:tc>
          <w:tcPr>
            <w:tcW w:w="4442" w:type="dxa"/>
            <w:shd w:val="clear" w:color="auto" w:fill="auto"/>
          </w:tcPr>
          <w:p w:rsidR="004402A5" w:rsidRPr="00233ACA" w:rsidRDefault="004402A5" w:rsidP="004402A5">
            <w:pPr>
              <w:spacing w:after="0" w:line="240" w:lineRule="auto"/>
              <w:jc w:val="both"/>
              <w:rPr>
                <w:rFonts w:ascii="Arial" w:eastAsia="Times New Roman" w:hAnsi="Arial" w:cs="Arial"/>
                <w:sz w:val="20"/>
                <w:szCs w:val="20"/>
                <w:lang w:eastAsia="es-ES"/>
              </w:rPr>
            </w:pPr>
          </w:p>
          <w:p w:rsidR="004402A5" w:rsidRPr="00233ACA" w:rsidRDefault="004402A5" w:rsidP="004402A5">
            <w:pPr>
              <w:spacing w:after="0" w:line="240" w:lineRule="auto"/>
              <w:jc w:val="both"/>
              <w:rPr>
                <w:rFonts w:ascii="Arial" w:eastAsia="Times New Roman" w:hAnsi="Arial" w:cs="Arial"/>
                <w:sz w:val="20"/>
                <w:szCs w:val="20"/>
                <w:lang w:eastAsia="es-ES"/>
              </w:rPr>
            </w:pPr>
            <w:r w:rsidRPr="00233ACA">
              <w:rPr>
                <w:rFonts w:ascii="Arial" w:eastAsia="Times New Roman" w:hAnsi="Arial" w:cs="Arial"/>
                <w:sz w:val="20"/>
                <w:szCs w:val="20"/>
                <w:lang w:eastAsia="es-ES"/>
              </w:rPr>
              <w:t xml:space="preserve">Políticas y procedimientos para la implementación del sistema de archivos en el departamento de Gestión de Programas de Financiamiento. </w:t>
            </w:r>
          </w:p>
          <w:p w:rsidR="004402A5" w:rsidRPr="00233ACA" w:rsidRDefault="004402A5" w:rsidP="004402A5">
            <w:pPr>
              <w:spacing w:after="0" w:line="240" w:lineRule="auto"/>
              <w:jc w:val="both"/>
              <w:rPr>
                <w:rFonts w:ascii="Arial" w:eastAsia="Times New Roman" w:hAnsi="Arial" w:cs="Arial"/>
                <w:sz w:val="20"/>
                <w:szCs w:val="20"/>
                <w:lang w:eastAsia="es-ES"/>
              </w:rPr>
            </w:pPr>
          </w:p>
        </w:tc>
        <w:tc>
          <w:tcPr>
            <w:tcW w:w="3491" w:type="dxa"/>
            <w:shd w:val="clear" w:color="auto" w:fill="auto"/>
          </w:tcPr>
          <w:p w:rsidR="004402A5" w:rsidRPr="00233ACA" w:rsidRDefault="004402A5" w:rsidP="004402A5">
            <w:pPr>
              <w:spacing w:after="0" w:line="240" w:lineRule="auto"/>
              <w:jc w:val="both"/>
              <w:rPr>
                <w:rFonts w:ascii="Arial" w:eastAsia="Times New Roman" w:hAnsi="Arial" w:cs="Arial"/>
                <w:sz w:val="20"/>
                <w:szCs w:val="20"/>
                <w:lang w:eastAsia="es-ES"/>
              </w:rPr>
            </w:pPr>
            <w:r w:rsidRPr="00233ACA">
              <w:rPr>
                <w:rFonts w:ascii="Arial" w:eastAsia="Times New Roman" w:hAnsi="Arial" w:cs="Arial"/>
                <w:sz w:val="20"/>
                <w:szCs w:val="20"/>
                <w:lang w:eastAsia="es-ES"/>
              </w:rPr>
              <w:t>Cumplimiento confirmado ante la CGR  mediante oficio DFOE-SD-1855 (11883) (19/08/2015).</w:t>
            </w:r>
          </w:p>
          <w:p w:rsidR="004402A5" w:rsidRPr="00233ACA" w:rsidRDefault="004402A5" w:rsidP="004402A5">
            <w:pPr>
              <w:spacing w:after="0" w:line="240" w:lineRule="auto"/>
              <w:jc w:val="both"/>
              <w:rPr>
                <w:rFonts w:ascii="Arial" w:eastAsia="Times New Roman" w:hAnsi="Arial" w:cs="Arial"/>
                <w:sz w:val="20"/>
                <w:szCs w:val="20"/>
                <w:lang w:eastAsia="es-ES"/>
              </w:rPr>
            </w:pPr>
          </w:p>
        </w:tc>
      </w:tr>
      <w:tr w:rsidR="004402A5" w:rsidRPr="00233ACA" w:rsidTr="00746DC0">
        <w:trPr>
          <w:trHeight w:val="167"/>
        </w:trPr>
        <w:tc>
          <w:tcPr>
            <w:tcW w:w="3055" w:type="dxa"/>
            <w:shd w:val="clear" w:color="auto" w:fill="auto"/>
          </w:tcPr>
          <w:p w:rsidR="004402A5" w:rsidRPr="00233ACA" w:rsidRDefault="004402A5" w:rsidP="004402A5">
            <w:pPr>
              <w:spacing w:after="0" w:line="240" w:lineRule="auto"/>
              <w:jc w:val="both"/>
              <w:rPr>
                <w:rFonts w:ascii="Arial" w:eastAsia="Times New Roman" w:hAnsi="Arial" w:cs="Arial"/>
                <w:sz w:val="20"/>
                <w:szCs w:val="20"/>
                <w:lang w:eastAsia="es-ES"/>
              </w:rPr>
            </w:pPr>
            <w:r w:rsidRPr="00233ACA">
              <w:rPr>
                <w:rFonts w:ascii="Arial" w:eastAsia="Times New Roman" w:hAnsi="Arial" w:cs="Arial"/>
                <w:sz w:val="20"/>
                <w:szCs w:val="20"/>
                <w:lang w:eastAsia="es-ES"/>
              </w:rPr>
              <w:t>4.6</w:t>
            </w:r>
          </w:p>
        </w:tc>
        <w:tc>
          <w:tcPr>
            <w:tcW w:w="4442" w:type="dxa"/>
            <w:shd w:val="clear" w:color="auto" w:fill="auto"/>
          </w:tcPr>
          <w:p w:rsidR="004402A5" w:rsidRPr="00233ACA" w:rsidRDefault="004402A5" w:rsidP="004402A5">
            <w:pPr>
              <w:spacing w:after="0" w:line="240" w:lineRule="auto"/>
              <w:jc w:val="both"/>
              <w:rPr>
                <w:rFonts w:ascii="Arial" w:eastAsia="Times New Roman" w:hAnsi="Arial" w:cs="Arial"/>
                <w:sz w:val="20"/>
                <w:szCs w:val="20"/>
                <w:lang w:eastAsia="es-ES"/>
              </w:rPr>
            </w:pPr>
            <w:r w:rsidRPr="00233ACA">
              <w:rPr>
                <w:rFonts w:ascii="Arial" w:eastAsia="Times New Roman" w:hAnsi="Arial" w:cs="Arial"/>
                <w:sz w:val="20"/>
                <w:szCs w:val="20"/>
                <w:lang w:eastAsia="es-ES"/>
              </w:rPr>
              <w:t>Depuración de la información en las bases de datos del SAP.</w:t>
            </w:r>
          </w:p>
          <w:p w:rsidR="004402A5" w:rsidRPr="00233ACA" w:rsidRDefault="004402A5" w:rsidP="004402A5">
            <w:pPr>
              <w:spacing w:after="0" w:line="240" w:lineRule="auto"/>
              <w:jc w:val="both"/>
              <w:rPr>
                <w:rFonts w:ascii="Arial" w:eastAsia="Times New Roman" w:hAnsi="Arial" w:cs="Arial"/>
                <w:sz w:val="20"/>
                <w:szCs w:val="20"/>
                <w:lang w:eastAsia="es-ES"/>
              </w:rPr>
            </w:pPr>
          </w:p>
        </w:tc>
        <w:tc>
          <w:tcPr>
            <w:tcW w:w="3491" w:type="dxa"/>
            <w:shd w:val="clear" w:color="auto" w:fill="auto"/>
          </w:tcPr>
          <w:p w:rsidR="004402A5" w:rsidRPr="00233ACA" w:rsidRDefault="004402A5" w:rsidP="004402A5">
            <w:pPr>
              <w:spacing w:after="0" w:line="240" w:lineRule="auto"/>
              <w:jc w:val="both"/>
              <w:rPr>
                <w:rFonts w:ascii="Arial" w:eastAsia="Times New Roman" w:hAnsi="Arial" w:cs="Arial"/>
                <w:sz w:val="20"/>
                <w:szCs w:val="20"/>
                <w:lang w:eastAsia="es-ES"/>
              </w:rPr>
            </w:pPr>
            <w:r w:rsidRPr="00233ACA">
              <w:rPr>
                <w:rFonts w:ascii="Arial" w:eastAsia="Times New Roman" w:hAnsi="Arial" w:cs="Arial"/>
                <w:sz w:val="20"/>
                <w:szCs w:val="20"/>
                <w:lang w:eastAsia="es-ES"/>
              </w:rPr>
              <w:t>Cumplimiento confirmado ante la CGR  mediante oficio DFOE-SD-1855 (11883) (19/08/2015).</w:t>
            </w:r>
          </w:p>
          <w:p w:rsidR="004402A5" w:rsidRPr="00233ACA" w:rsidRDefault="004402A5" w:rsidP="004402A5">
            <w:pPr>
              <w:spacing w:after="0" w:line="240" w:lineRule="auto"/>
              <w:jc w:val="both"/>
              <w:rPr>
                <w:rFonts w:ascii="Arial" w:eastAsia="Times New Roman" w:hAnsi="Arial" w:cs="Arial"/>
                <w:sz w:val="20"/>
                <w:szCs w:val="20"/>
                <w:lang w:eastAsia="es-ES"/>
              </w:rPr>
            </w:pPr>
          </w:p>
        </w:tc>
      </w:tr>
      <w:tr w:rsidR="004402A5" w:rsidRPr="00233ACA" w:rsidTr="00746DC0">
        <w:trPr>
          <w:trHeight w:val="167"/>
        </w:trPr>
        <w:tc>
          <w:tcPr>
            <w:tcW w:w="10988" w:type="dxa"/>
            <w:gridSpan w:val="3"/>
            <w:shd w:val="clear" w:color="auto" w:fill="auto"/>
          </w:tcPr>
          <w:p w:rsidR="004402A5" w:rsidRPr="00233ACA" w:rsidRDefault="004402A5" w:rsidP="004402A5">
            <w:pPr>
              <w:spacing w:after="0" w:line="240" w:lineRule="auto"/>
              <w:jc w:val="both"/>
              <w:rPr>
                <w:rFonts w:ascii="Arial" w:eastAsia="Times New Roman" w:hAnsi="Arial" w:cs="Arial"/>
                <w:b/>
                <w:sz w:val="20"/>
                <w:szCs w:val="20"/>
                <w:lang w:eastAsia="es-ES"/>
              </w:rPr>
            </w:pPr>
            <w:r w:rsidRPr="00233ACA">
              <w:rPr>
                <w:rFonts w:ascii="Arial" w:eastAsia="Times New Roman" w:hAnsi="Arial" w:cs="Arial"/>
                <w:b/>
                <w:sz w:val="20"/>
                <w:szCs w:val="20"/>
                <w:lang w:eastAsia="es-ES"/>
              </w:rPr>
              <w:t>DFOE-AE-IF-13-2013 Auditoría de carácter especial acerca de la liquidación presupuestaria del  Instituto Nacional de Vivienda y Urbanismo del período 2012.</w:t>
            </w:r>
          </w:p>
          <w:p w:rsidR="004402A5" w:rsidRPr="00233ACA" w:rsidRDefault="004402A5" w:rsidP="004402A5">
            <w:pPr>
              <w:spacing w:after="0" w:line="240" w:lineRule="auto"/>
              <w:jc w:val="both"/>
              <w:rPr>
                <w:rFonts w:ascii="Arial" w:eastAsia="Times New Roman" w:hAnsi="Arial" w:cs="Arial"/>
                <w:sz w:val="20"/>
                <w:szCs w:val="20"/>
                <w:lang w:eastAsia="es-ES"/>
              </w:rPr>
            </w:pPr>
          </w:p>
        </w:tc>
      </w:tr>
      <w:tr w:rsidR="004402A5" w:rsidRPr="00233ACA" w:rsidTr="00746DC0">
        <w:trPr>
          <w:trHeight w:val="167"/>
        </w:trPr>
        <w:tc>
          <w:tcPr>
            <w:tcW w:w="3055" w:type="dxa"/>
            <w:shd w:val="clear" w:color="auto" w:fill="auto"/>
          </w:tcPr>
          <w:p w:rsidR="004402A5" w:rsidRPr="00233ACA" w:rsidRDefault="004402A5" w:rsidP="004402A5">
            <w:pPr>
              <w:spacing w:after="0" w:line="240" w:lineRule="auto"/>
              <w:jc w:val="both"/>
              <w:rPr>
                <w:rFonts w:ascii="Arial" w:eastAsia="Times New Roman" w:hAnsi="Arial" w:cs="Arial"/>
                <w:sz w:val="20"/>
                <w:szCs w:val="20"/>
                <w:lang w:eastAsia="es-ES"/>
              </w:rPr>
            </w:pPr>
            <w:r w:rsidRPr="00233ACA">
              <w:rPr>
                <w:rFonts w:ascii="Arial" w:eastAsia="Times New Roman" w:hAnsi="Arial" w:cs="Arial"/>
                <w:sz w:val="20"/>
                <w:szCs w:val="20"/>
                <w:lang w:eastAsia="es-ES"/>
              </w:rPr>
              <w:t>4.5</w:t>
            </w:r>
          </w:p>
        </w:tc>
        <w:tc>
          <w:tcPr>
            <w:tcW w:w="4442" w:type="dxa"/>
            <w:shd w:val="clear" w:color="auto" w:fill="auto"/>
          </w:tcPr>
          <w:p w:rsidR="004402A5" w:rsidRPr="00233ACA" w:rsidRDefault="004402A5" w:rsidP="004402A5">
            <w:pPr>
              <w:spacing w:after="0" w:line="240" w:lineRule="auto"/>
              <w:jc w:val="both"/>
              <w:rPr>
                <w:rFonts w:ascii="Arial" w:eastAsia="Times New Roman" w:hAnsi="Arial" w:cs="Arial"/>
                <w:sz w:val="20"/>
                <w:szCs w:val="20"/>
                <w:lang w:eastAsia="es-ES"/>
              </w:rPr>
            </w:pPr>
            <w:r w:rsidRPr="00233ACA">
              <w:rPr>
                <w:rFonts w:ascii="Arial" w:eastAsia="Times New Roman" w:hAnsi="Arial" w:cs="Arial"/>
                <w:sz w:val="20"/>
                <w:szCs w:val="20"/>
                <w:lang w:eastAsia="es-ES"/>
              </w:rPr>
              <w:t>Analizar y resolver acerca del resultado de la conciliación entre los saldos de caja, bancos, inversiones transitorias y otras cuentas liquidas con los saldos del superávit al 31 de diciembre de los años 2010, 2011 y 2012.</w:t>
            </w:r>
          </w:p>
          <w:p w:rsidR="004402A5" w:rsidRPr="00233ACA" w:rsidRDefault="004402A5" w:rsidP="004402A5">
            <w:pPr>
              <w:spacing w:after="0" w:line="240" w:lineRule="auto"/>
              <w:jc w:val="both"/>
              <w:rPr>
                <w:rFonts w:ascii="Arial" w:eastAsia="Times New Roman" w:hAnsi="Arial" w:cs="Arial"/>
                <w:sz w:val="20"/>
                <w:szCs w:val="20"/>
                <w:lang w:eastAsia="es-ES"/>
              </w:rPr>
            </w:pPr>
          </w:p>
        </w:tc>
        <w:tc>
          <w:tcPr>
            <w:tcW w:w="3491" w:type="dxa"/>
            <w:vMerge w:val="restart"/>
            <w:shd w:val="clear" w:color="auto" w:fill="auto"/>
          </w:tcPr>
          <w:p w:rsidR="004402A5" w:rsidRPr="00233ACA" w:rsidRDefault="004402A5" w:rsidP="004402A5">
            <w:pPr>
              <w:spacing w:after="0" w:line="240" w:lineRule="auto"/>
              <w:jc w:val="both"/>
              <w:rPr>
                <w:rFonts w:ascii="Arial" w:eastAsia="Times New Roman" w:hAnsi="Arial" w:cs="Arial"/>
                <w:sz w:val="20"/>
                <w:szCs w:val="20"/>
                <w:lang w:eastAsia="es-ES"/>
              </w:rPr>
            </w:pPr>
            <w:r w:rsidRPr="00233ACA">
              <w:rPr>
                <w:rFonts w:ascii="Arial" w:eastAsia="Times New Roman" w:hAnsi="Arial" w:cs="Arial"/>
                <w:sz w:val="20"/>
                <w:szCs w:val="20"/>
                <w:lang w:eastAsia="es-ES"/>
              </w:rPr>
              <w:t xml:space="preserve">DFOE-AE-0309 (N° 11329) (28/09/2017) La CGR solicitó audiencia a la Junta Directiva para comunicar lo resuelto acerca de gestión planteada en oficio N° C-GG-0747-2017 por la Gerencia General y la Subgerencia relativa a disposiciones del informe DFOE-AE-IF-13-2013. La audiencia fue concedida en la Sesión Ordinaria del jueves 12 de octubre de 2017 en la cual se presentó el oficio DFOE-AE-0316 (N° 11530) (12/10/2017) que comunica que se deja sin efecto las disposiciones contenidas en los párrafos 4.5, 4.9 y 4.12 del informe n° DFOE-AE-IF-13-2013 y se emite nueva disposición. " Instruir al Gerente General para que se migre y depure la información relativa a los saldos de las cuentas contables de caja, bancos, inversiones transitorias y otras cuentas liquidas y posteriormente concilie los saldos de estas con el saldo de superávit presupuestario al 31 de diciembre de 2018, con el fin de asegurar su congruencia. Además, para que una vez efectuada dicha conciliación se someta el informe de liquidación presupuestaria del período 2018  a </w:t>
            </w:r>
            <w:r w:rsidRPr="00233ACA">
              <w:rPr>
                <w:rFonts w:ascii="Arial" w:eastAsia="Times New Roman" w:hAnsi="Arial" w:cs="Arial"/>
                <w:sz w:val="20"/>
                <w:szCs w:val="20"/>
                <w:lang w:eastAsia="es-ES"/>
              </w:rPr>
              <w:lastRenderedPageBreak/>
              <w:t>revisión externa de calidad, de conformidad con la norma 4.3.17 de las Normas Técnicas sobre Presupuesto Público. Remitir a la CGR una certificación en la cual conste que se migró y depuró la información de las citadas cuentas y se efectuó su conciliación con el saldo del superávit presupuestario a más tardar el 30 de marzo de 2019 además una certificación en la cual conste que se contrató la revisión externa de calidad a más tardar el 15 de setiembre de 2019".</w:t>
            </w:r>
          </w:p>
          <w:p w:rsidR="004402A5" w:rsidRPr="00233ACA" w:rsidRDefault="004402A5" w:rsidP="004402A5">
            <w:pPr>
              <w:spacing w:after="0" w:line="240" w:lineRule="auto"/>
              <w:jc w:val="both"/>
              <w:rPr>
                <w:rFonts w:ascii="Arial" w:eastAsia="Times New Roman" w:hAnsi="Arial" w:cs="Arial"/>
                <w:sz w:val="20"/>
                <w:szCs w:val="20"/>
                <w:lang w:eastAsia="es-ES"/>
              </w:rPr>
            </w:pPr>
          </w:p>
          <w:p w:rsidR="004402A5" w:rsidRPr="00233ACA" w:rsidRDefault="004402A5" w:rsidP="004402A5">
            <w:pPr>
              <w:spacing w:after="0" w:line="240" w:lineRule="auto"/>
              <w:jc w:val="both"/>
              <w:rPr>
                <w:rFonts w:ascii="Arial" w:eastAsia="Times New Roman" w:hAnsi="Arial" w:cs="Arial"/>
                <w:sz w:val="20"/>
                <w:szCs w:val="20"/>
                <w:lang w:eastAsia="es-ES"/>
              </w:rPr>
            </w:pPr>
            <w:r w:rsidRPr="00233ACA">
              <w:rPr>
                <w:rFonts w:ascii="Arial" w:eastAsia="Times New Roman" w:hAnsi="Arial" w:cs="Arial"/>
                <w:sz w:val="20"/>
                <w:szCs w:val="20"/>
                <w:lang w:eastAsia="es-ES"/>
              </w:rPr>
              <w:t>JD-373-2017 (16/11/2017): Comunicación de acuerdo de Junta Directiva según consta en articulo II, Inciso 1) de la sesión ordinaria N° 6286 del 12 de octubre del 2017, que contiene lo resuelto por la Contraloría General de la República respecto a las disposiciones 4.5, 4.9 y 4.12 de acuerdo con el párrafo anterior.</w:t>
            </w:r>
          </w:p>
          <w:p w:rsidR="004402A5" w:rsidRPr="00233ACA" w:rsidRDefault="004402A5" w:rsidP="004402A5">
            <w:pPr>
              <w:spacing w:after="0" w:line="240" w:lineRule="auto"/>
              <w:jc w:val="both"/>
              <w:rPr>
                <w:rFonts w:ascii="Arial" w:eastAsia="Times New Roman" w:hAnsi="Arial" w:cs="Arial"/>
                <w:sz w:val="20"/>
                <w:szCs w:val="20"/>
                <w:lang w:eastAsia="es-ES"/>
              </w:rPr>
            </w:pPr>
          </w:p>
          <w:p w:rsidR="004402A5" w:rsidRPr="00233ACA" w:rsidRDefault="004402A5" w:rsidP="004402A5">
            <w:pPr>
              <w:spacing w:after="0" w:line="240" w:lineRule="auto"/>
              <w:jc w:val="both"/>
              <w:rPr>
                <w:rFonts w:ascii="Arial" w:eastAsia="Times New Roman" w:hAnsi="Arial" w:cs="Arial"/>
                <w:sz w:val="20"/>
                <w:szCs w:val="20"/>
                <w:lang w:eastAsia="es-ES"/>
              </w:rPr>
            </w:pPr>
            <w:r w:rsidRPr="00233ACA">
              <w:rPr>
                <w:rFonts w:ascii="Arial" w:eastAsia="Times New Roman" w:hAnsi="Arial" w:cs="Arial"/>
                <w:sz w:val="20"/>
                <w:szCs w:val="20"/>
                <w:lang w:eastAsia="es-ES"/>
              </w:rPr>
              <w:t>RC-16218 (21/11/2017): La Gerencia designó para su atención y seguimiento el acuerdo de la Junta Directiva a la Subgerencia.</w:t>
            </w:r>
          </w:p>
          <w:p w:rsidR="004402A5" w:rsidRPr="00233ACA" w:rsidRDefault="004402A5" w:rsidP="004402A5">
            <w:pPr>
              <w:spacing w:after="0" w:line="240" w:lineRule="auto"/>
              <w:jc w:val="both"/>
              <w:rPr>
                <w:rFonts w:ascii="Arial" w:eastAsia="Times New Roman" w:hAnsi="Arial" w:cs="Arial"/>
                <w:sz w:val="20"/>
                <w:szCs w:val="20"/>
                <w:lang w:eastAsia="es-ES"/>
              </w:rPr>
            </w:pPr>
          </w:p>
          <w:p w:rsidR="004402A5" w:rsidRPr="00233ACA" w:rsidRDefault="004402A5" w:rsidP="004402A5">
            <w:pPr>
              <w:spacing w:after="0" w:line="240" w:lineRule="auto"/>
              <w:jc w:val="both"/>
              <w:rPr>
                <w:rFonts w:ascii="Arial" w:eastAsia="Times New Roman" w:hAnsi="Arial" w:cs="Arial"/>
                <w:sz w:val="20"/>
                <w:szCs w:val="20"/>
                <w:lang w:eastAsia="es-ES"/>
              </w:rPr>
            </w:pPr>
            <w:r w:rsidRPr="00233ACA">
              <w:rPr>
                <w:rFonts w:ascii="Arial" w:eastAsia="Times New Roman" w:hAnsi="Arial" w:cs="Arial"/>
                <w:sz w:val="20"/>
                <w:szCs w:val="20"/>
                <w:lang w:eastAsia="es-ES"/>
              </w:rPr>
              <w:t>SGG-0198-2017 (21/11/2017): La Subgerencia comunicó al Depto. Administrativo Financiero el acuerdo de Junta Directiva citado en párrafos anteriores con la instrucción de que realice las gestiones internas correspondientes, y emitir los informes trimestrales ante la Junta Directiva.</w:t>
            </w:r>
          </w:p>
          <w:p w:rsidR="004402A5" w:rsidRPr="00233ACA" w:rsidRDefault="004402A5" w:rsidP="004402A5">
            <w:pPr>
              <w:spacing w:after="0" w:line="240" w:lineRule="auto"/>
              <w:jc w:val="both"/>
              <w:rPr>
                <w:rFonts w:ascii="Arial" w:eastAsia="Times New Roman" w:hAnsi="Arial" w:cs="Arial"/>
                <w:sz w:val="20"/>
                <w:szCs w:val="20"/>
                <w:lang w:eastAsia="es-ES"/>
              </w:rPr>
            </w:pPr>
          </w:p>
        </w:tc>
      </w:tr>
      <w:tr w:rsidR="004402A5" w:rsidRPr="00233ACA" w:rsidTr="00746DC0">
        <w:trPr>
          <w:trHeight w:val="167"/>
        </w:trPr>
        <w:tc>
          <w:tcPr>
            <w:tcW w:w="3055" w:type="dxa"/>
            <w:shd w:val="clear" w:color="auto" w:fill="auto"/>
          </w:tcPr>
          <w:p w:rsidR="004402A5" w:rsidRPr="00233ACA" w:rsidRDefault="004402A5" w:rsidP="004402A5">
            <w:pPr>
              <w:spacing w:after="0" w:line="240" w:lineRule="auto"/>
              <w:jc w:val="both"/>
              <w:rPr>
                <w:rFonts w:ascii="Arial" w:eastAsia="Times New Roman" w:hAnsi="Arial" w:cs="Arial"/>
                <w:sz w:val="20"/>
                <w:szCs w:val="20"/>
                <w:lang w:eastAsia="es-ES"/>
              </w:rPr>
            </w:pPr>
            <w:r w:rsidRPr="00233ACA">
              <w:rPr>
                <w:rFonts w:ascii="Arial" w:eastAsia="Times New Roman" w:hAnsi="Arial" w:cs="Arial"/>
                <w:sz w:val="20"/>
                <w:szCs w:val="20"/>
                <w:lang w:eastAsia="es-ES"/>
              </w:rPr>
              <w:t>4.9</w:t>
            </w:r>
          </w:p>
          <w:p w:rsidR="004402A5" w:rsidRPr="00233ACA" w:rsidRDefault="004402A5" w:rsidP="004402A5">
            <w:pPr>
              <w:spacing w:after="0" w:line="240" w:lineRule="auto"/>
              <w:jc w:val="both"/>
              <w:rPr>
                <w:rFonts w:ascii="Arial" w:eastAsia="Times New Roman" w:hAnsi="Arial" w:cs="Arial"/>
                <w:sz w:val="20"/>
                <w:szCs w:val="20"/>
                <w:lang w:eastAsia="es-ES"/>
              </w:rPr>
            </w:pPr>
          </w:p>
        </w:tc>
        <w:tc>
          <w:tcPr>
            <w:tcW w:w="4442" w:type="dxa"/>
            <w:shd w:val="clear" w:color="auto" w:fill="auto"/>
          </w:tcPr>
          <w:p w:rsidR="004402A5" w:rsidRPr="00233ACA" w:rsidRDefault="004402A5" w:rsidP="004402A5">
            <w:pPr>
              <w:spacing w:after="0" w:line="240" w:lineRule="auto"/>
              <w:jc w:val="both"/>
              <w:rPr>
                <w:rFonts w:ascii="Arial" w:eastAsia="Times New Roman" w:hAnsi="Arial" w:cs="Arial"/>
                <w:sz w:val="20"/>
                <w:szCs w:val="20"/>
                <w:lang w:eastAsia="es-ES"/>
              </w:rPr>
            </w:pPr>
            <w:r w:rsidRPr="00233ACA">
              <w:rPr>
                <w:rFonts w:ascii="Arial" w:eastAsia="Times New Roman" w:hAnsi="Arial" w:cs="Arial"/>
                <w:sz w:val="20"/>
                <w:szCs w:val="20"/>
                <w:lang w:eastAsia="es-ES"/>
              </w:rPr>
              <w:t>Analizar y resolver sobre el informe que emita la auditoría externa sobre las conciliaciones y ajustes del superávit.</w:t>
            </w:r>
          </w:p>
          <w:p w:rsidR="004402A5" w:rsidRPr="00233ACA" w:rsidRDefault="004402A5" w:rsidP="004402A5">
            <w:pPr>
              <w:spacing w:after="0" w:line="240" w:lineRule="auto"/>
              <w:jc w:val="both"/>
              <w:rPr>
                <w:rFonts w:ascii="Arial" w:eastAsia="Times New Roman" w:hAnsi="Arial" w:cs="Arial"/>
                <w:sz w:val="20"/>
                <w:szCs w:val="20"/>
                <w:lang w:eastAsia="es-ES"/>
              </w:rPr>
            </w:pPr>
          </w:p>
        </w:tc>
        <w:tc>
          <w:tcPr>
            <w:tcW w:w="3491" w:type="dxa"/>
            <w:vMerge/>
            <w:shd w:val="clear" w:color="auto" w:fill="auto"/>
          </w:tcPr>
          <w:p w:rsidR="004402A5" w:rsidRPr="00233ACA" w:rsidRDefault="004402A5" w:rsidP="004402A5">
            <w:pPr>
              <w:spacing w:after="0" w:line="240" w:lineRule="auto"/>
              <w:jc w:val="both"/>
              <w:rPr>
                <w:rFonts w:ascii="Arial" w:eastAsia="Times New Roman" w:hAnsi="Arial" w:cs="Arial"/>
                <w:sz w:val="20"/>
                <w:szCs w:val="20"/>
                <w:lang w:eastAsia="es-ES"/>
              </w:rPr>
            </w:pPr>
          </w:p>
        </w:tc>
      </w:tr>
      <w:tr w:rsidR="004402A5" w:rsidRPr="00233ACA" w:rsidTr="00746DC0">
        <w:trPr>
          <w:trHeight w:val="167"/>
        </w:trPr>
        <w:tc>
          <w:tcPr>
            <w:tcW w:w="3055" w:type="dxa"/>
            <w:shd w:val="clear" w:color="auto" w:fill="auto"/>
          </w:tcPr>
          <w:p w:rsidR="004402A5" w:rsidRPr="00233ACA" w:rsidRDefault="004402A5" w:rsidP="004402A5">
            <w:pPr>
              <w:spacing w:after="0" w:line="240" w:lineRule="auto"/>
              <w:jc w:val="both"/>
              <w:rPr>
                <w:rFonts w:ascii="Arial" w:eastAsia="Times New Roman" w:hAnsi="Arial" w:cs="Arial"/>
                <w:sz w:val="20"/>
                <w:szCs w:val="20"/>
                <w:lang w:eastAsia="es-ES"/>
              </w:rPr>
            </w:pPr>
            <w:r w:rsidRPr="00233ACA">
              <w:rPr>
                <w:rFonts w:ascii="Arial" w:eastAsia="Times New Roman" w:hAnsi="Arial" w:cs="Arial"/>
                <w:sz w:val="20"/>
                <w:szCs w:val="20"/>
                <w:lang w:eastAsia="es-ES"/>
              </w:rPr>
              <w:t>4.12</w:t>
            </w:r>
          </w:p>
          <w:p w:rsidR="004402A5" w:rsidRPr="00233ACA" w:rsidRDefault="004402A5" w:rsidP="004402A5">
            <w:pPr>
              <w:spacing w:after="0" w:line="240" w:lineRule="auto"/>
              <w:jc w:val="both"/>
              <w:rPr>
                <w:rFonts w:ascii="Arial" w:eastAsia="Times New Roman" w:hAnsi="Arial" w:cs="Arial"/>
                <w:sz w:val="20"/>
                <w:szCs w:val="20"/>
                <w:lang w:eastAsia="es-ES"/>
              </w:rPr>
            </w:pPr>
          </w:p>
        </w:tc>
        <w:tc>
          <w:tcPr>
            <w:tcW w:w="4442" w:type="dxa"/>
            <w:shd w:val="clear" w:color="auto" w:fill="auto"/>
          </w:tcPr>
          <w:p w:rsidR="004402A5" w:rsidRPr="00233ACA" w:rsidRDefault="004402A5" w:rsidP="004402A5">
            <w:pPr>
              <w:spacing w:after="0" w:line="240" w:lineRule="auto"/>
              <w:jc w:val="both"/>
              <w:rPr>
                <w:rFonts w:ascii="Arial" w:eastAsia="Times New Roman" w:hAnsi="Arial" w:cs="Arial"/>
                <w:sz w:val="20"/>
                <w:szCs w:val="20"/>
                <w:lang w:eastAsia="es-ES"/>
              </w:rPr>
            </w:pPr>
            <w:r w:rsidRPr="00233ACA">
              <w:rPr>
                <w:rFonts w:ascii="Arial" w:eastAsia="Times New Roman" w:hAnsi="Arial" w:cs="Arial"/>
                <w:sz w:val="20"/>
                <w:szCs w:val="20"/>
                <w:lang w:eastAsia="es-ES"/>
              </w:rPr>
              <w:t>Conciliar los saldos de las cuentas de caja, bancos, inversiones transitorias y otras cuentas liquidas con los saldos del superávit al 31 de diciembre de los años 2010, 2011 y 2012.</w:t>
            </w:r>
          </w:p>
        </w:tc>
        <w:tc>
          <w:tcPr>
            <w:tcW w:w="3491" w:type="dxa"/>
            <w:vMerge/>
            <w:shd w:val="clear" w:color="auto" w:fill="auto"/>
          </w:tcPr>
          <w:p w:rsidR="004402A5" w:rsidRPr="00233ACA" w:rsidRDefault="004402A5" w:rsidP="004402A5">
            <w:pPr>
              <w:spacing w:after="0" w:line="240" w:lineRule="auto"/>
              <w:jc w:val="both"/>
              <w:rPr>
                <w:rFonts w:ascii="Arial" w:eastAsia="Times New Roman" w:hAnsi="Arial" w:cs="Arial"/>
                <w:sz w:val="20"/>
                <w:szCs w:val="20"/>
                <w:lang w:eastAsia="es-ES"/>
              </w:rPr>
            </w:pPr>
          </w:p>
        </w:tc>
      </w:tr>
      <w:tr w:rsidR="004402A5" w:rsidRPr="00233ACA" w:rsidTr="00746DC0">
        <w:trPr>
          <w:trHeight w:val="167"/>
        </w:trPr>
        <w:tc>
          <w:tcPr>
            <w:tcW w:w="10988" w:type="dxa"/>
            <w:gridSpan w:val="3"/>
            <w:shd w:val="clear" w:color="auto" w:fill="auto"/>
          </w:tcPr>
          <w:p w:rsidR="004402A5" w:rsidRPr="00233ACA" w:rsidRDefault="004402A5" w:rsidP="004402A5">
            <w:pPr>
              <w:spacing w:after="0" w:line="240" w:lineRule="auto"/>
              <w:jc w:val="both"/>
              <w:rPr>
                <w:rFonts w:ascii="Arial" w:eastAsia="Times New Roman" w:hAnsi="Arial" w:cs="Arial"/>
                <w:b/>
                <w:sz w:val="20"/>
                <w:szCs w:val="20"/>
                <w:lang w:eastAsia="es-ES"/>
              </w:rPr>
            </w:pPr>
            <w:r w:rsidRPr="00233ACA">
              <w:rPr>
                <w:rFonts w:ascii="Arial" w:eastAsia="Times New Roman" w:hAnsi="Arial" w:cs="Arial"/>
                <w:b/>
                <w:sz w:val="20"/>
                <w:szCs w:val="20"/>
                <w:lang w:eastAsia="es-ES"/>
              </w:rPr>
              <w:t>DFOE-AE-IF-01-2017 Procedimientos y Controles para el ejercicio de la función de tesorería en el Instituto Nacional de Vivienda y Urbanismo.</w:t>
            </w:r>
          </w:p>
        </w:tc>
      </w:tr>
      <w:tr w:rsidR="004402A5" w:rsidRPr="00233ACA" w:rsidTr="00746DC0">
        <w:trPr>
          <w:trHeight w:val="167"/>
        </w:trPr>
        <w:tc>
          <w:tcPr>
            <w:tcW w:w="3055" w:type="dxa"/>
            <w:shd w:val="clear" w:color="auto" w:fill="auto"/>
          </w:tcPr>
          <w:p w:rsidR="004402A5" w:rsidRPr="00233ACA" w:rsidRDefault="004402A5" w:rsidP="004402A5">
            <w:pPr>
              <w:spacing w:after="0" w:line="240" w:lineRule="auto"/>
              <w:jc w:val="both"/>
              <w:rPr>
                <w:rFonts w:ascii="Arial" w:eastAsia="Times New Roman" w:hAnsi="Arial" w:cs="Arial"/>
                <w:sz w:val="20"/>
                <w:szCs w:val="20"/>
                <w:lang w:eastAsia="es-ES"/>
              </w:rPr>
            </w:pPr>
            <w:r w:rsidRPr="00233ACA">
              <w:rPr>
                <w:rFonts w:ascii="Arial" w:eastAsia="Times New Roman" w:hAnsi="Arial" w:cs="Arial"/>
                <w:sz w:val="20"/>
                <w:szCs w:val="20"/>
                <w:lang w:eastAsia="es-ES"/>
              </w:rPr>
              <w:t>4.4</w:t>
            </w:r>
          </w:p>
        </w:tc>
        <w:tc>
          <w:tcPr>
            <w:tcW w:w="4442" w:type="dxa"/>
            <w:shd w:val="clear" w:color="auto" w:fill="auto"/>
          </w:tcPr>
          <w:p w:rsidR="004402A5" w:rsidRPr="00233ACA" w:rsidRDefault="004402A5" w:rsidP="004402A5">
            <w:pPr>
              <w:spacing w:after="0" w:line="240" w:lineRule="auto"/>
              <w:jc w:val="both"/>
              <w:rPr>
                <w:rFonts w:ascii="Arial" w:eastAsia="Times New Roman" w:hAnsi="Arial" w:cs="Arial"/>
                <w:sz w:val="20"/>
                <w:szCs w:val="20"/>
                <w:lang w:eastAsia="es-ES"/>
              </w:rPr>
            </w:pPr>
            <w:r w:rsidRPr="00233ACA">
              <w:rPr>
                <w:rFonts w:ascii="Arial" w:eastAsia="Times New Roman" w:hAnsi="Arial" w:cs="Arial"/>
                <w:sz w:val="20"/>
                <w:szCs w:val="20"/>
                <w:lang w:eastAsia="es-ES"/>
              </w:rPr>
              <w:t>Procedimientos y Controles de Tesorería</w:t>
            </w:r>
          </w:p>
        </w:tc>
        <w:tc>
          <w:tcPr>
            <w:tcW w:w="3491" w:type="dxa"/>
            <w:shd w:val="clear" w:color="auto" w:fill="auto"/>
          </w:tcPr>
          <w:p w:rsidR="004402A5" w:rsidRPr="00233ACA" w:rsidRDefault="004402A5" w:rsidP="004402A5">
            <w:pPr>
              <w:spacing w:after="0" w:line="240" w:lineRule="auto"/>
              <w:jc w:val="both"/>
              <w:rPr>
                <w:rFonts w:ascii="Arial" w:eastAsia="Times New Roman" w:hAnsi="Arial" w:cs="Arial"/>
                <w:sz w:val="20"/>
                <w:szCs w:val="20"/>
                <w:lang w:eastAsia="es-ES"/>
              </w:rPr>
            </w:pPr>
            <w:r w:rsidRPr="00233ACA">
              <w:rPr>
                <w:rFonts w:ascii="Arial" w:eastAsia="Times New Roman" w:hAnsi="Arial" w:cs="Arial"/>
                <w:sz w:val="20"/>
                <w:szCs w:val="20"/>
                <w:lang w:eastAsia="es-ES"/>
              </w:rPr>
              <w:t>Cumplimiento confirmado ante la CGR mediante oficio DFOE-SD-1366) (11/07/2017).</w:t>
            </w:r>
          </w:p>
          <w:p w:rsidR="004402A5" w:rsidRPr="00233ACA" w:rsidRDefault="004402A5" w:rsidP="004402A5">
            <w:pPr>
              <w:spacing w:after="0" w:line="240" w:lineRule="auto"/>
              <w:jc w:val="both"/>
              <w:rPr>
                <w:rFonts w:ascii="Arial" w:eastAsia="Times New Roman" w:hAnsi="Arial" w:cs="Arial"/>
                <w:sz w:val="20"/>
                <w:szCs w:val="20"/>
                <w:lang w:eastAsia="es-ES"/>
              </w:rPr>
            </w:pPr>
          </w:p>
        </w:tc>
      </w:tr>
    </w:tbl>
    <w:p w:rsidR="004402A5" w:rsidRPr="001E2626" w:rsidRDefault="004402A5" w:rsidP="004402A5">
      <w:pPr>
        <w:spacing w:after="0" w:line="240" w:lineRule="auto"/>
        <w:rPr>
          <w:rFonts w:ascii="Arial" w:eastAsia="Times New Roman" w:hAnsi="Arial" w:cs="Arial"/>
          <w:sz w:val="18"/>
          <w:szCs w:val="18"/>
          <w:lang w:eastAsia="es-ES"/>
        </w:rPr>
      </w:pPr>
      <w:r w:rsidRPr="001E2626">
        <w:rPr>
          <w:rFonts w:ascii="Arial" w:eastAsia="Times New Roman" w:hAnsi="Arial" w:cs="Arial"/>
          <w:sz w:val="18"/>
          <w:szCs w:val="18"/>
          <w:lang w:eastAsia="es-ES"/>
        </w:rPr>
        <w:t>Nota Fuente: Informe de rendimiento de cuentas de área. (2017)</w:t>
      </w:r>
    </w:p>
    <w:p w:rsidR="004402A5" w:rsidRPr="00D03C77" w:rsidRDefault="004402A5" w:rsidP="004402A5">
      <w:pPr>
        <w:ind w:left="360"/>
        <w:jc w:val="both"/>
        <w:rPr>
          <w:rFonts w:ascii="Arial" w:hAnsi="Arial" w:cs="Arial"/>
          <w:b/>
          <w:bCs/>
          <w:lang w:eastAsia="es-CR"/>
        </w:rPr>
      </w:pPr>
    </w:p>
    <w:p w:rsidR="00DA62C0" w:rsidRDefault="00DA62C0">
      <w:pPr>
        <w:rPr>
          <w:rFonts w:ascii="Arial" w:eastAsia="Times New Roman" w:hAnsi="Arial" w:cs="Arial"/>
          <w:sz w:val="20"/>
          <w:szCs w:val="20"/>
          <w:lang w:val="es-ES" w:eastAsia="es-ES"/>
        </w:rPr>
      </w:pPr>
    </w:p>
    <w:p w:rsidR="00233ACA" w:rsidRDefault="00233ACA" w:rsidP="00233ACA">
      <w:pPr>
        <w:pStyle w:val="Ttulo2"/>
        <w:keepLines w:val="0"/>
        <w:spacing w:before="240" w:after="60" w:line="240" w:lineRule="auto"/>
        <w:ind w:left="360"/>
        <w:jc w:val="both"/>
        <w:rPr>
          <w:rFonts w:ascii="Arial" w:eastAsia="Times New Roman" w:hAnsi="Arial" w:cs="Times New Roman"/>
          <w:bCs w:val="0"/>
          <w:color w:val="auto"/>
          <w:sz w:val="22"/>
          <w:szCs w:val="22"/>
          <w:lang w:eastAsia="es-ES"/>
        </w:rPr>
      </w:pPr>
    </w:p>
    <w:p w:rsidR="00B672E6" w:rsidRPr="00233ACA" w:rsidRDefault="00B672E6" w:rsidP="00233ACA">
      <w:pPr>
        <w:pStyle w:val="Ttulo2"/>
        <w:keepLines w:val="0"/>
        <w:numPr>
          <w:ilvl w:val="0"/>
          <w:numId w:val="3"/>
        </w:numPr>
        <w:spacing w:before="240" w:after="60" w:line="240" w:lineRule="auto"/>
        <w:jc w:val="both"/>
        <w:rPr>
          <w:rFonts w:ascii="Arial" w:eastAsia="Times New Roman" w:hAnsi="Arial" w:cs="Times New Roman"/>
          <w:bCs w:val="0"/>
          <w:color w:val="auto"/>
          <w:sz w:val="20"/>
          <w:szCs w:val="20"/>
          <w:lang w:eastAsia="es-ES"/>
        </w:rPr>
      </w:pPr>
      <w:r w:rsidRPr="00233ACA">
        <w:rPr>
          <w:rFonts w:ascii="Arial" w:eastAsia="Times New Roman" w:hAnsi="Arial" w:cs="Times New Roman"/>
          <w:bCs w:val="0"/>
          <w:color w:val="auto"/>
          <w:sz w:val="20"/>
          <w:szCs w:val="20"/>
          <w:lang w:eastAsia="es-ES"/>
        </w:rPr>
        <w:t>Consolidación del Patrimonio Habitacional en Familias en Condición de Pobreza, Proyectos Habitacionales INVU, ubicados en las provincias de Limón, Puntarenas y Alajuela (Convenio DAL-CV-019-2013)</w:t>
      </w:r>
    </w:p>
    <w:p w:rsidR="00233ACA" w:rsidRDefault="00233ACA" w:rsidP="00233ACA">
      <w:pPr>
        <w:spacing w:after="0" w:line="240" w:lineRule="auto"/>
        <w:jc w:val="both"/>
        <w:rPr>
          <w:rFonts w:ascii="Arial" w:eastAsia="Times New Roman" w:hAnsi="Arial" w:cs="Arial"/>
          <w:bCs/>
          <w:sz w:val="20"/>
          <w:szCs w:val="20"/>
          <w:lang w:eastAsia="es-CR"/>
        </w:rPr>
      </w:pPr>
    </w:p>
    <w:p w:rsidR="00B672E6" w:rsidRPr="00233ACA" w:rsidRDefault="00B672E6" w:rsidP="00233ACA">
      <w:pPr>
        <w:spacing w:after="0" w:line="240" w:lineRule="auto"/>
        <w:jc w:val="both"/>
        <w:rPr>
          <w:rFonts w:ascii="Arial" w:eastAsia="Times New Roman" w:hAnsi="Arial" w:cs="Arial"/>
          <w:bCs/>
          <w:sz w:val="20"/>
          <w:szCs w:val="20"/>
          <w:lang w:eastAsia="es-CR"/>
        </w:rPr>
      </w:pPr>
      <w:r w:rsidRPr="00233ACA">
        <w:rPr>
          <w:rFonts w:ascii="Arial" w:eastAsia="Times New Roman" w:hAnsi="Arial" w:cs="Arial"/>
          <w:bCs/>
          <w:sz w:val="20"/>
          <w:szCs w:val="20"/>
          <w:lang w:eastAsia="es-CR"/>
        </w:rPr>
        <w:t>A diciembre se trabajó en la liquidación de recursos del convenio INVU – FODESAF.</w:t>
      </w:r>
    </w:p>
    <w:p w:rsidR="00B672E6" w:rsidRPr="00233ACA" w:rsidRDefault="00B672E6" w:rsidP="00233ACA">
      <w:pPr>
        <w:spacing w:after="0" w:line="240" w:lineRule="auto"/>
        <w:jc w:val="both"/>
        <w:rPr>
          <w:rFonts w:ascii="Arial" w:eastAsia="Times New Roman" w:hAnsi="Arial" w:cs="Arial"/>
          <w:bCs/>
          <w:sz w:val="20"/>
          <w:szCs w:val="20"/>
          <w:lang w:eastAsia="es-CR"/>
        </w:rPr>
      </w:pPr>
    </w:p>
    <w:p w:rsidR="00B672E6" w:rsidRPr="00233ACA" w:rsidRDefault="00B672E6" w:rsidP="00233ACA">
      <w:pPr>
        <w:spacing w:after="0" w:line="240" w:lineRule="auto"/>
        <w:jc w:val="both"/>
        <w:rPr>
          <w:rFonts w:ascii="Arial" w:eastAsia="Times New Roman" w:hAnsi="Arial" w:cs="Arial"/>
          <w:bCs/>
          <w:sz w:val="20"/>
          <w:szCs w:val="20"/>
          <w:lang w:eastAsia="es-CR"/>
        </w:rPr>
      </w:pPr>
      <w:r w:rsidRPr="00233ACA">
        <w:rPr>
          <w:rFonts w:ascii="Arial" w:eastAsia="Times New Roman" w:hAnsi="Arial" w:cs="Arial"/>
          <w:bCs/>
          <w:sz w:val="20"/>
          <w:szCs w:val="20"/>
          <w:lang w:eastAsia="es-CR"/>
        </w:rPr>
        <w:t>En el Presupuesto Extraordinario 1-2017, se incluyó la suma de ¢ 7.1 millones para la devolución de recursos al Fondo de Desarrollo Social y Asignaciones Familiares (FODESAF).</w:t>
      </w:r>
    </w:p>
    <w:p w:rsidR="00B672E6" w:rsidRPr="00233ACA" w:rsidRDefault="00B672E6" w:rsidP="00233ACA">
      <w:pPr>
        <w:spacing w:after="0" w:line="240" w:lineRule="auto"/>
        <w:jc w:val="both"/>
        <w:rPr>
          <w:rFonts w:ascii="Arial" w:eastAsia="Times New Roman" w:hAnsi="Arial" w:cs="Arial"/>
          <w:bCs/>
          <w:sz w:val="20"/>
          <w:szCs w:val="20"/>
          <w:lang w:eastAsia="es-CR"/>
        </w:rPr>
      </w:pPr>
      <w:r w:rsidRPr="00233ACA">
        <w:rPr>
          <w:rFonts w:ascii="Arial" w:eastAsia="Times New Roman" w:hAnsi="Arial" w:cs="Arial"/>
          <w:bCs/>
          <w:sz w:val="20"/>
          <w:szCs w:val="20"/>
          <w:lang w:eastAsia="es-CR"/>
        </w:rPr>
        <w:tab/>
      </w:r>
    </w:p>
    <w:p w:rsidR="00B672E6" w:rsidRPr="00233ACA" w:rsidRDefault="00B672E6" w:rsidP="00233ACA">
      <w:pPr>
        <w:spacing w:after="0" w:line="240" w:lineRule="auto"/>
        <w:jc w:val="both"/>
        <w:rPr>
          <w:rFonts w:ascii="Arial" w:eastAsia="Times New Roman" w:hAnsi="Arial" w:cs="Arial"/>
          <w:bCs/>
          <w:sz w:val="20"/>
          <w:szCs w:val="20"/>
          <w:lang w:eastAsia="es-CR"/>
        </w:rPr>
      </w:pPr>
      <w:r w:rsidRPr="00233ACA">
        <w:rPr>
          <w:rFonts w:ascii="Arial" w:eastAsia="Times New Roman" w:hAnsi="Arial" w:cs="Arial"/>
          <w:bCs/>
          <w:sz w:val="20"/>
          <w:szCs w:val="20"/>
          <w:lang w:eastAsia="es-CR"/>
        </w:rPr>
        <w:t>Con DFOE-AE-0242, de fecha 01 de setiembre del presente año, la Contraloría General de la República (CGR) aprueba el presupuesto mencionado.</w:t>
      </w:r>
    </w:p>
    <w:p w:rsidR="00B672E6" w:rsidRPr="00233ACA" w:rsidRDefault="00B672E6" w:rsidP="00233ACA">
      <w:pPr>
        <w:spacing w:after="0" w:line="240" w:lineRule="auto"/>
        <w:jc w:val="both"/>
        <w:rPr>
          <w:rFonts w:ascii="Arial" w:eastAsia="Times New Roman" w:hAnsi="Arial" w:cs="Arial"/>
          <w:bCs/>
          <w:sz w:val="20"/>
          <w:szCs w:val="20"/>
          <w:lang w:eastAsia="es-CR"/>
        </w:rPr>
      </w:pPr>
    </w:p>
    <w:p w:rsidR="00B672E6" w:rsidRPr="00233ACA" w:rsidRDefault="00B672E6" w:rsidP="00233ACA">
      <w:pPr>
        <w:spacing w:after="0" w:line="240" w:lineRule="auto"/>
        <w:jc w:val="both"/>
        <w:rPr>
          <w:rFonts w:ascii="Arial" w:eastAsia="Times New Roman" w:hAnsi="Arial" w:cs="Arial"/>
          <w:bCs/>
          <w:sz w:val="20"/>
          <w:szCs w:val="20"/>
          <w:lang w:eastAsia="es-CR"/>
        </w:rPr>
      </w:pPr>
      <w:r w:rsidRPr="00233ACA">
        <w:rPr>
          <w:rFonts w:ascii="Arial" w:eastAsia="Times New Roman" w:hAnsi="Arial" w:cs="Arial"/>
          <w:bCs/>
          <w:sz w:val="20"/>
          <w:szCs w:val="20"/>
          <w:lang w:eastAsia="es-CR"/>
        </w:rPr>
        <w:t>La devolución de recursos fue por un total de ¢7,2 millones, realizada el 25 de agosto 2017 y al Convenio de Consolidación Habitacional le corresponde un monto de ¢4,0 millones.</w:t>
      </w:r>
    </w:p>
    <w:p w:rsidR="00B672E6" w:rsidRPr="00233ACA" w:rsidRDefault="00B672E6" w:rsidP="00233ACA">
      <w:pPr>
        <w:spacing w:after="0" w:line="240" w:lineRule="auto"/>
        <w:jc w:val="both"/>
        <w:rPr>
          <w:rFonts w:ascii="Arial" w:eastAsia="Times New Roman" w:hAnsi="Arial" w:cs="Arial"/>
          <w:bCs/>
          <w:sz w:val="20"/>
          <w:szCs w:val="20"/>
          <w:lang w:eastAsia="es-CR"/>
        </w:rPr>
      </w:pPr>
    </w:p>
    <w:p w:rsidR="00B672E6" w:rsidRPr="00233ACA" w:rsidRDefault="00B672E6" w:rsidP="00B672E6">
      <w:pPr>
        <w:spacing w:after="0" w:line="240" w:lineRule="auto"/>
        <w:jc w:val="both"/>
        <w:rPr>
          <w:rFonts w:ascii="Arial" w:eastAsia="Times New Roman" w:hAnsi="Arial" w:cs="Arial"/>
          <w:bCs/>
          <w:sz w:val="20"/>
          <w:szCs w:val="20"/>
          <w:lang w:eastAsia="es-CR"/>
        </w:rPr>
      </w:pPr>
    </w:p>
    <w:p w:rsidR="00B672E6" w:rsidRPr="00233ACA" w:rsidRDefault="00B672E6" w:rsidP="00B672E6">
      <w:pPr>
        <w:spacing w:after="0" w:line="240" w:lineRule="auto"/>
        <w:jc w:val="both"/>
        <w:rPr>
          <w:rFonts w:ascii="Arial" w:eastAsia="Times New Roman" w:hAnsi="Arial" w:cs="Arial"/>
          <w:bCs/>
          <w:sz w:val="20"/>
          <w:szCs w:val="20"/>
          <w:lang w:eastAsia="es-CR"/>
        </w:rPr>
      </w:pPr>
    </w:p>
    <w:p w:rsidR="00B672E6" w:rsidRPr="00233ACA" w:rsidRDefault="00B672E6" w:rsidP="000665F1">
      <w:pPr>
        <w:pStyle w:val="Ttulo2"/>
        <w:keepLines w:val="0"/>
        <w:numPr>
          <w:ilvl w:val="0"/>
          <w:numId w:val="3"/>
        </w:numPr>
        <w:spacing w:before="240" w:after="60" w:line="240" w:lineRule="auto"/>
        <w:jc w:val="both"/>
        <w:rPr>
          <w:rFonts w:ascii="Arial" w:eastAsia="Times New Roman" w:hAnsi="Arial" w:cs="Times New Roman"/>
          <w:bCs w:val="0"/>
          <w:color w:val="auto"/>
          <w:sz w:val="20"/>
          <w:szCs w:val="20"/>
          <w:lang w:eastAsia="es-ES"/>
        </w:rPr>
      </w:pPr>
      <w:r w:rsidRPr="00233ACA">
        <w:rPr>
          <w:rFonts w:ascii="Arial" w:eastAsia="Times New Roman" w:hAnsi="Arial" w:cs="Arial"/>
          <w:bCs w:val="0"/>
          <w:sz w:val="20"/>
          <w:szCs w:val="20"/>
          <w:lang w:eastAsia="es-CR"/>
        </w:rPr>
        <w:t xml:space="preserve"> </w:t>
      </w:r>
      <w:r w:rsidRPr="00233ACA">
        <w:rPr>
          <w:rFonts w:ascii="Arial" w:eastAsia="Times New Roman" w:hAnsi="Arial" w:cs="Times New Roman"/>
          <w:bCs w:val="0"/>
          <w:color w:val="auto"/>
          <w:sz w:val="20"/>
          <w:szCs w:val="20"/>
          <w:lang w:eastAsia="es-ES"/>
        </w:rPr>
        <w:t>Cambio de Luminarias</w:t>
      </w:r>
    </w:p>
    <w:p w:rsidR="00B672E6" w:rsidRPr="00233ACA" w:rsidRDefault="00B672E6" w:rsidP="00B672E6">
      <w:pPr>
        <w:spacing w:after="0" w:line="240" w:lineRule="auto"/>
        <w:jc w:val="both"/>
        <w:rPr>
          <w:rFonts w:ascii="Arial" w:eastAsia="Times New Roman" w:hAnsi="Arial" w:cs="Arial"/>
          <w:bCs/>
          <w:sz w:val="20"/>
          <w:szCs w:val="20"/>
          <w:lang w:eastAsia="es-CR"/>
        </w:rPr>
      </w:pPr>
    </w:p>
    <w:p w:rsidR="00B672E6" w:rsidRPr="00B672E6" w:rsidRDefault="00B672E6" w:rsidP="00B672E6">
      <w:pPr>
        <w:spacing w:after="0" w:line="240" w:lineRule="auto"/>
        <w:jc w:val="both"/>
        <w:rPr>
          <w:rFonts w:ascii="Arial" w:eastAsia="Times New Roman" w:hAnsi="Arial" w:cs="Arial"/>
          <w:bCs/>
          <w:sz w:val="20"/>
          <w:szCs w:val="20"/>
          <w:lang w:eastAsia="es-CR"/>
        </w:rPr>
      </w:pPr>
      <w:r w:rsidRPr="00233ACA">
        <w:rPr>
          <w:rFonts w:ascii="Arial" w:eastAsia="Times New Roman" w:hAnsi="Arial" w:cs="Arial"/>
          <w:bCs/>
          <w:sz w:val="20"/>
          <w:szCs w:val="20"/>
          <w:lang w:eastAsia="es-CR"/>
        </w:rPr>
        <w:t>Este proyecto comprende el cambio o la sustitución</w:t>
      </w:r>
      <w:r w:rsidRPr="00B672E6">
        <w:rPr>
          <w:rFonts w:ascii="Arial" w:eastAsia="Times New Roman" w:hAnsi="Arial" w:cs="Arial"/>
          <w:bCs/>
          <w:sz w:val="20"/>
          <w:szCs w:val="20"/>
          <w:lang w:eastAsia="es-CR"/>
        </w:rPr>
        <w:t xml:space="preserve"> de las luminarias de los edificios Jutsini y Orowe, ubicados en Barrio Amón, San José, con el objetivo de generar un ahorro energético.</w:t>
      </w:r>
    </w:p>
    <w:p w:rsidR="00B672E6" w:rsidRPr="00B672E6" w:rsidRDefault="00B672E6" w:rsidP="00B672E6">
      <w:pPr>
        <w:spacing w:after="0" w:line="240" w:lineRule="auto"/>
        <w:jc w:val="both"/>
        <w:rPr>
          <w:rFonts w:ascii="Arial" w:eastAsia="Times New Roman" w:hAnsi="Arial" w:cs="Arial"/>
          <w:bCs/>
          <w:sz w:val="20"/>
          <w:szCs w:val="20"/>
          <w:lang w:eastAsia="es-CR"/>
        </w:rPr>
      </w:pPr>
    </w:p>
    <w:p w:rsidR="00B672E6" w:rsidRPr="00B672E6" w:rsidRDefault="00B672E6" w:rsidP="00B672E6">
      <w:pPr>
        <w:spacing w:after="0" w:line="240" w:lineRule="auto"/>
        <w:jc w:val="both"/>
        <w:rPr>
          <w:rFonts w:ascii="Arial" w:eastAsia="Times New Roman" w:hAnsi="Arial" w:cs="Arial"/>
          <w:bCs/>
          <w:sz w:val="20"/>
          <w:szCs w:val="20"/>
          <w:lang w:eastAsia="es-CR"/>
        </w:rPr>
      </w:pPr>
      <w:r w:rsidRPr="00B672E6">
        <w:rPr>
          <w:rFonts w:ascii="Arial" w:eastAsia="Times New Roman" w:hAnsi="Arial" w:cs="Arial"/>
          <w:bCs/>
          <w:sz w:val="20"/>
          <w:szCs w:val="20"/>
          <w:lang w:eastAsia="es-CR"/>
        </w:rPr>
        <w:t>A diciembre el proyecto de cambio de luminarias no presenta avance, porque se encuentra en proceso el estudio sobre cargas eléctricas, realizado por la empresa Ingeniería Sostenible, el cual inició en el IV trimestre 2016.</w:t>
      </w:r>
    </w:p>
    <w:p w:rsidR="00B672E6" w:rsidRPr="00B672E6" w:rsidRDefault="00B672E6" w:rsidP="00B672E6">
      <w:pPr>
        <w:spacing w:after="0" w:line="240" w:lineRule="auto"/>
        <w:jc w:val="both"/>
        <w:rPr>
          <w:rFonts w:ascii="Arial" w:eastAsia="Times New Roman" w:hAnsi="Arial" w:cs="Arial"/>
          <w:bCs/>
          <w:sz w:val="20"/>
          <w:szCs w:val="20"/>
          <w:lang w:eastAsia="es-CR"/>
        </w:rPr>
      </w:pPr>
    </w:p>
    <w:p w:rsidR="00B672E6" w:rsidRPr="00B672E6" w:rsidRDefault="00B672E6" w:rsidP="00B672E6">
      <w:pPr>
        <w:spacing w:after="0" w:line="240" w:lineRule="auto"/>
        <w:jc w:val="both"/>
        <w:rPr>
          <w:rFonts w:ascii="Arial" w:eastAsia="Times New Roman" w:hAnsi="Arial" w:cs="Arial"/>
          <w:bCs/>
          <w:sz w:val="20"/>
          <w:szCs w:val="20"/>
          <w:lang w:eastAsia="es-CR"/>
        </w:rPr>
      </w:pPr>
      <w:r w:rsidRPr="00B672E6">
        <w:rPr>
          <w:rFonts w:ascii="Arial" w:eastAsia="Times New Roman" w:hAnsi="Arial" w:cs="Arial"/>
          <w:bCs/>
          <w:sz w:val="20"/>
          <w:szCs w:val="20"/>
          <w:lang w:eastAsia="es-CR"/>
        </w:rPr>
        <w:t>Se han realizado mejoras parciales en la iluminación con la compra de lámparas LED (tipo 8), las cuales se han venido sustituyendo en diferentes áreas del edificio.</w:t>
      </w:r>
    </w:p>
    <w:p w:rsidR="00B672E6" w:rsidRPr="00B672E6" w:rsidRDefault="00B672E6" w:rsidP="00B672E6">
      <w:pPr>
        <w:spacing w:after="0" w:line="240" w:lineRule="auto"/>
        <w:jc w:val="both"/>
        <w:rPr>
          <w:rFonts w:ascii="Arial" w:eastAsia="Times New Roman" w:hAnsi="Arial" w:cs="Arial"/>
          <w:bCs/>
          <w:sz w:val="20"/>
          <w:szCs w:val="20"/>
          <w:lang w:eastAsia="es-CR"/>
        </w:rPr>
      </w:pPr>
    </w:p>
    <w:p w:rsidR="00B672E6" w:rsidRPr="00B672E6" w:rsidRDefault="00B672E6" w:rsidP="00B672E6">
      <w:pPr>
        <w:spacing w:after="0" w:line="240" w:lineRule="auto"/>
        <w:jc w:val="both"/>
        <w:rPr>
          <w:rFonts w:ascii="Arial" w:eastAsia="Times New Roman" w:hAnsi="Arial" w:cs="Arial"/>
          <w:bCs/>
          <w:sz w:val="20"/>
          <w:szCs w:val="20"/>
          <w:lang w:eastAsia="es-CR"/>
        </w:rPr>
      </w:pPr>
      <w:r w:rsidRPr="00B672E6">
        <w:rPr>
          <w:rFonts w:ascii="Arial" w:eastAsia="Times New Roman" w:hAnsi="Arial" w:cs="Arial"/>
          <w:bCs/>
          <w:sz w:val="20"/>
          <w:szCs w:val="20"/>
          <w:lang w:eastAsia="es-CR"/>
        </w:rPr>
        <w:t>Además, se sustituyeron la</w:t>
      </w:r>
      <w:r>
        <w:rPr>
          <w:rFonts w:ascii="Arial" w:eastAsia="Times New Roman" w:hAnsi="Arial" w:cs="Arial"/>
          <w:bCs/>
          <w:sz w:val="20"/>
          <w:szCs w:val="20"/>
          <w:lang w:eastAsia="es-CR"/>
        </w:rPr>
        <w:t>s</w:t>
      </w:r>
      <w:r w:rsidRPr="00B672E6">
        <w:rPr>
          <w:rFonts w:ascii="Arial" w:eastAsia="Times New Roman" w:hAnsi="Arial" w:cs="Arial"/>
          <w:bCs/>
          <w:sz w:val="20"/>
          <w:szCs w:val="20"/>
          <w:lang w:eastAsia="es-CR"/>
        </w:rPr>
        <w:t xml:space="preserve"> luminarias de oficina de la presidencia ejecutiva y la sala de sesiones, con la compra de 33 paneles LED (tecnología T12) con una inversión de ¢6.900.000, de acuerdo con la Contratación Directa CD2017-000068-00058, adjudicada a la empresa Tecno ECOLED S.A.</w:t>
      </w:r>
    </w:p>
    <w:p w:rsidR="00B672E6" w:rsidRDefault="00B672E6" w:rsidP="00B672E6">
      <w:pPr>
        <w:jc w:val="both"/>
        <w:rPr>
          <w:rFonts w:ascii="Arial" w:hAnsi="Arial" w:cs="Arial"/>
        </w:rPr>
      </w:pPr>
    </w:p>
    <w:p w:rsidR="00DA62C0" w:rsidRDefault="00DA62C0">
      <w:pPr>
        <w:rPr>
          <w:rFonts w:ascii="Arial" w:eastAsia="Times New Roman" w:hAnsi="Arial" w:cs="Arial"/>
          <w:sz w:val="20"/>
          <w:szCs w:val="20"/>
          <w:lang w:val="es-ES" w:eastAsia="es-ES"/>
        </w:rPr>
      </w:pPr>
    </w:p>
    <w:p w:rsidR="0040650E" w:rsidRPr="00233ACA" w:rsidRDefault="00DA62C0" w:rsidP="000665F1">
      <w:pPr>
        <w:pStyle w:val="Ttulo2"/>
        <w:keepLines w:val="0"/>
        <w:numPr>
          <w:ilvl w:val="0"/>
          <w:numId w:val="3"/>
        </w:numPr>
        <w:spacing w:before="240" w:after="60" w:line="240" w:lineRule="auto"/>
        <w:jc w:val="both"/>
        <w:rPr>
          <w:rFonts w:ascii="Arial" w:eastAsia="Times New Roman" w:hAnsi="Arial" w:cs="Arial"/>
          <w:bCs w:val="0"/>
          <w:color w:val="auto"/>
          <w:sz w:val="20"/>
          <w:szCs w:val="20"/>
          <w:lang w:eastAsia="es-ES"/>
        </w:rPr>
      </w:pPr>
      <w:r>
        <w:rPr>
          <w:rFonts w:ascii="Arial" w:eastAsia="Times New Roman" w:hAnsi="Arial" w:cs="Arial"/>
          <w:sz w:val="20"/>
          <w:szCs w:val="20"/>
          <w:lang w:val="es-ES" w:eastAsia="es-ES"/>
        </w:rPr>
        <w:br w:type="page"/>
      </w:r>
      <w:r w:rsidR="0040650E" w:rsidRPr="00233ACA">
        <w:rPr>
          <w:rFonts w:ascii="Arial" w:eastAsia="Times New Roman" w:hAnsi="Arial" w:cs="Arial"/>
          <w:bCs w:val="0"/>
          <w:color w:val="auto"/>
          <w:sz w:val="20"/>
          <w:szCs w:val="20"/>
          <w:lang w:eastAsia="es-ES"/>
        </w:rPr>
        <w:lastRenderedPageBreak/>
        <w:t>Fortalecimiento del Sistema de Ahorro y Préstamo</w:t>
      </w:r>
    </w:p>
    <w:p w:rsidR="0040650E" w:rsidRPr="00233ACA" w:rsidRDefault="0040650E" w:rsidP="0040650E">
      <w:pPr>
        <w:spacing w:after="0" w:line="240" w:lineRule="auto"/>
        <w:jc w:val="both"/>
        <w:rPr>
          <w:rFonts w:ascii="Arial" w:eastAsia="Times New Roman" w:hAnsi="Arial" w:cs="Arial"/>
          <w:sz w:val="20"/>
          <w:szCs w:val="20"/>
          <w:lang w:eastAsia="es-ES"/>
        </w:rPr>
      </w:pPr>
    </w:p>
    <w:p w:rsidR="0040650E" w:rsidRPr="00233ACA" w:rsidRDefault="0040650E" w:rsidP="0040650E">
      <w:pPr>
        <w:spacing w:after="0" w:line="240" w:lineRule="auto"/>
        <w:jc w:val="both"/>
        <w:rPr>
          <w:rFonts w:ascii="Arial" w:eastAsia="Times New Roman" w:hAnsi="Arial" w:cs="Arial"/>
          <w:sz w:val="20"/>
          <w:szCs w:val="20"/>
          <w:lang w:eastAsia="es-ES"/>
        </w:rPr>
      </w:pPr>
      <w:r w:rsidRPr="00233ACA">
        <w:rPr>
          <w:rFonts w:ascii="Arial" w:eastAsia="Times New Roman" w:hAnsi="Arial" w:cs="Arial"/>
          <w:sz w:val="20"/>
          <w:szCs w:val="20"/>
          <w:lang w:eastAsia="es-ES"/>
        </w:rPr>
        <w:t>Este proyecto tiene como objetivo definir estrategias de fortalecimiento para el Sistema de Ahorro y Préstamo (SAP).</w:t>
      </w:r>
    </w:p>
    <w:p w:rsidR="0040650E" w:rsidRPr="00233ACA" w:rsidRDefault="0040650E" w:rsidP="0040650E">
      <w:pPr>
        <w:spacing w:after="0" w:line="240" w:lineRule="auto"/>
        <w:jc w:val="both"/>
        <w:rPr>
          <w:rFonts w:ascii="Arial" w:eastAsia="Times New Roman" w:hAnsi="Arial" w:cs="Arial"/>
          <w:sz w:val="20"/>
          <w:szCs w:val="20"/>
          <w:lang w:eastAsia="es-ES"/>
        </w:rPr>
      </w:pPr>
    </w:p>
    <w:p w:rsidR="0040650E" w:rsidRPr="0040650E" w:rsidRDefault="0040650E" w:rsidP="0040650E">
      <w:pPr>
        <w:spacing w:after="0" w:line="240" w:lineRule="auto"/>
        <w:jc w:val="both"/>
        <w:rPr>
          <w:rFonts w:ascii="Arial" w:eastAsia="Times New Roman" w:hAnsi="Arial" w:cs="Arial"/>
          <w:sz w:val="20"/>
          <w:szCs w:val="20"/>
          <w:lang w:eastAsia="es-ES"/>
        </w:rPr>
      </w:pPr>
      <w:r w:rsidRPr="00233ACA">
        <w:rPr>
          <w:rFonts w:ascii="Arial" w:eastAsia="Times New Roman" w:hAnsi="Arial" w:cs="Arial"/>
          <w:sz w:val="20"/>
          <w:szCs w:val="20"/>
          <w:lang w:eastAsia="es-ES"/>
        </w:rPr>
        <w:t>A partir de agosto 2017, se pone en práctica, la actualización de las condiciones del SAP. Las personas que deseen suscribir un plan de ahorro, podrán elegir 6 opciones para realizarlo, escoger la tasa de interés y el plazo, que serán fijos</w:t>
      </w:r>
      <w:r w:rsidRPr="0040650E">
        <w:rPr>
          <w:rFonts w:ascii="Arial" w:eastAsia="Times New Roman" w:hAnsi="Arial" w:cs="Arial"/>
          <w:sz w:val="20"/>
          <w:szCs w:val="20"/>
          <w:lang w:eastAsia="es-ES"/>
        </w:rPr>
        <w:t xml:space="preserve"> durante todo el período del préstamo, a partir de un 7% de interés. </w:t>
      </w:r>
    </w:p>
    <w:p w:rsidR="0040650E" w:rsidRPr="0040650E" w:rsidRDefault="0040650E" w:rsidP="0040650E">
      <w:pPr>
        <w:spacing w:after="0" w:line="240" w:lineRule="auto"/>
        <w:jc w:val="both"/>
        <w:rPr>
          <w:rFonts w:ascii="Arial" w:eastAsia="Times New Roman" w:hAnsi="Arial" w:cs="Arial"/>
          <w:sz w:val="20"/>
          <w:szCs w:val="20"/>
          <w:lang w:eastAsia="es-ES"/>
        </w:rPr>
      </w:pPr>
    </w:p>
    <w:p w:rsidR="0040650E" w:rsidRPr="0040650E" w:rsidRDefault="0040650E" w:rsidP="0040650E">
      <w:pPr>
        <w:spacing w:after="0" w:line="240" w:lineRule="auto"/>
        <w:jc w:val="both"/>
        <w:rPr>
          <w:rFonts w:ascii="Arial" w:eastAsia="Times New Roman" w:hAnsi="Arial" w:cs="Arial"/>
          <w:sz w:val="20"/>
          <w:szCs w:val="20"/>
          <w:lang w:eastAsia="es-ES"/>
        </w:rPr>
      </w:pPr>
      <w:r w:rsidRPr="0040650E">
        <w:rPr>
          <w:rFonts w:ascii="Arial" w:eastAsia="Times New Roman" w:hAnsi="Arial" w:cs="Arial"/>
          <w:sz w:val="20"/>
          <w:szCs w:val="20"/>
          <w:lang w:eastAsia="es-ES"/>
        </w:rPr>
        <w:t>Las nuevas condiciones del SAP tienen como objetivo que los productos resulten atractivos en relación con lo que ofrece el mercado financiero nacional para vivienda, aspecto positivo para facilitar el acceso a la vivienda.</w:t>
      </w:r>
    </w:p>
    <w:p w:rsidR="0040650E" w:rsidRPr="0040650E" w:rsidRDefault="0040650E" w:rsidP="0040650E">
      <w:pPr>
        <w:spacing w:after="0" w:line="240" w:lineRule="auto"/>
        <w:jc w:val="both"/>
        <w:rPr>
          <w:rFonts w:ascii="Arial" w:eastAsia="Times New Roman" w:hAnsi="Arial" w:cs="Arial"/>
          <w:sz w:val="20"/>
          <w:szCs w:val="20"/>
          <w:lang w:eastAsia="es-ES"/>
        </w:rPr>
      </w:pPr>
    </w:p>
    <w:p w:rsidR="0040650E" w:rsidRPr="0040650E" w:rsidRDefault="0040650E" w:rsidP="0040650E">
      <w:pPr>
        <w:spacing w:after="0" w:line="240" w:lineRule="auto"/>
        <w:jc w:val="both"/>
        <w:rPr>
          <w:rFonts w:ascii="Arial" w:eastAsia="Times New Roman" w:hAnsi="Arial" w:cs="Arial"/>
          <w:sz w:val="20"/>
          <w:szCs w:val="20"/>
          <w:lang w:eastAsia="es-ES"/>
        </w:rPr>
      </w:pPr>
      <w:r w:rsidRPr="0040650E">
        <w:rPr>
          <w:rFonts w:ascii="Arial" w:eastAsia="Times New Roman" w:hAnsi="Arial" w:cs="Arial"/>
          <w:sz w:val="20"/>
          <w:szCs w:val="20"/>
          <w:lang w:eastAsia="es-ES"/>
        </w:rPr>
        <w:t xml:space="preserve">Cabe señalar, que las ventas de contratos para el último cuatrimestre del año 2017 se incrementaron en ¢7.312 (60%) en relación al último cuatrimestre del año 2016, es decir, pasaron de ¢12.101,0 millones a ¢19.413,0 millones. </w:t>
      </w:r>
    </w:p>
    <w:p w:rsidR="0040650E" w:rsidRPr="0040650E" w:rsidRDefault="0040650E" w:rsidP="0040650E">
      <w:pPr>
        <w:spacing w:after="0" w:line="240" w:lineRule="auto"/>
        <w:jc w:val="both"/>
        <w:rPr>
          <w:rFonts w:ascii="Arial" w:eastAsia="Times New Roman" w:hAnsi="Arial" w:cs="Arial"/>
          <w:sz w:val="20"/>
          <w:szCs w:val="20"/>
          <w:lang w:eastAsia="es-ES"/>
        </w:rPr>
      </w:pPr>
    </w:p>
    <w:p w:rsidR="0040650E" w:rsidRPr="0040650E" w:rsidRDefault="0040650E" w:rsidP="0040650E">
      <w:pPr>
        <w:spacing w:after="0" w:line="240" w:lineRule="auto"/>
        <w:jc w:val="both"/>
        <w:rPr>
          <w:rFonts w:ascii="Arial" w:eastAsia="Times New Roman" w:hAnsi="Arial" w:cs="Arial"/>
          <w:sz w:val="20"/>
          <w:szCs w:val="20"/>
          <w:lang w:eastAsia="es-ES"/>
        </w:rPr>
      </w:pPr>
      <w:r w:rsidRPr="0040650E">
        <w:rPr>
          <w:rFonts w:ascii="Arial" w:eastAsia="Times New Roman" w:hAnsi="Arial" w:cs="Arial"/>
          <w:sz w:val="20"/>
          <w:szCs w:val="20"/>
          <w:lang w:eastAsia="es-ES"/>
        </w:rPr>
        <w:t>Seguidamente se muestra el detalle de lo actuado durante el año 2017:</w:t>
      </w:r>
    </w:p>
    <w:tbl>
      <w:tblPr>
        <w:tblW w:w="9339" w:type="dxa"/>
        <w:tblBorders>
          <w:insideH w:val="single" w:sz="6" w:space="0" w:color="000000"/>
          <w:insideV w:val="single" w:sz="6" w:space="0" w:color="000000"/>
        </w:tblBorders>
        <w:tblLook w:val="04A0" w:firstRow="1" w:lastRow="0" w:firstColumn="1" w:lastColumn="0" w:noHBand="0" w:noVBand="1"/>
      </w:tblPr>
      <w:tblGrid>
        <w:gridCol w:w="4404"/>
        <w:gridCol w:w="4935"/>
      </w:tblGrid>
      <w:tr w:rsidR="0040650E" w:rsidRPr="0040650E" w:rsidTr="00746DC0">
        <w:trPr>
          <w:trHeight w:val="209"/>
        </w:trPr>
        <w:tc>
          <w:tcPr>
            <w:tcW w:w="5000" w:type="pct"/>
            <w:gridSpan w:val="2"/>
            <w:shd w:val="clear" w:color="auto" w:fill="auto"/>
            <w:noWrap/>
            <w:hideMark/>
          </w:tcPr>
          <w:p w:rsidR="0040650E" w:rsidRPr="0040650E" w:rsidRDefault="0040650E" w:rsidP="0040650E">
            <w:pPr>
              <w:spacing w:after="0" w:line="240" w:lineRule="auto"/>
              <w:jc w:val="both"/>
              <w:rPr>
                <w:rFonts w:ascii="Arial" w:eastAsia="Times New Roman" w:hAnsi="Arial" w:cs="Arial"/>
                <w:sz w:val="20"/>
                <w:szCs w:val="20"/>
                <w:lang w:eastAsia="es-ES"/>
              </w:rPr>
            </w:pPr>
          </w:p>
          <w:p w:rsidR="0040650E" w:rsidRPr="007013E8" w:rsidRDefault="0040650E" w:rsidP="007013E8">
            <w:pPr>
              <w:spacing w:after="0" w:line="240" w:lineRule="auto"/>
              <w:jc w:val="center"/>
              <w:rPr>
                <w:rFonts w:ascii="Arial" w:eastAsia="Times New Roman" w:hAnsi="Arial" w:cs="Arial"/>
                <w:b/>
                <w:sz w:val="20"/>
                <w:szCs w:val="20"/>
                <w:lang w:eastAsia="es-ES"/>
              </w:rPr>
            </w:pPr>
            <w:r w:rsidRPr="007013E8">
              <w:rPr>
                <w:rFonts w:ascii="Arial" w:eastAsia="Times New Roman" w:hAnsi="Arial" w:cs="Arial"/>
                <w:b/>
                <w:sz w:val="20"/>
                <w:szCs w:val="20"/>
                <w:lang w:eastAsia="es-ES"/>
              </w:rPr>
              <w:t>Tabla 10 Acciones Realizadas</w:t>
            </w:r>
          </w:p>
        </w:tc>
      </w:tr>
      <w:tr w:rsidR="0040650E" w:rsidRPr="0040650E" w:rsidTr="00746DC0">
        <w:trPr>
          <w:trHeight w:val="637"/>
        </w:trPr>
        <w:tc>
          <w:tcPr>
            <w:tcW w:w="2358" w:type="pct"/>
            <w:shd w:val="clear" w:color="auto" w:fill="auto"/>
            <w:hideMark/>
          </w:tcPr>
          <w:p w:rsidR="0040650E" w:rsidRPr="0040650E" w:rsidRDefault="0040650E" w:rsidP="0040650E">
            <w:pPr>
              <w:spacing w:after="0" w:line="240" w:lineRule="auto"/>
              <w:jc w:val="both"/>
              <w:rPr>
                <w:rFonts w:ascii="Arial" w:eastAsia="Times New Roman" w:hAnsi="Arial" w:cs="Arial"/>
                <w:sz w:val="20"/>
                <w:szCs w:val="20"/>
                <w:lang w:eastAsia="es-ES"/>
              </w:rPr>
            </w:pPr>
            <w:r w:rsidRPr="0040650E">
              <w:rPr>
                <w:rFonts w:ascii="Arial" w:eastAsia="Times New Roman" w:hAnsi="Arial" w:cs="Arial"/>
                <w:sz w:val="20"/>
                <w:szCs w:val="20"/>
                <w:lang w:eastAsia="es-ES"/>
              </w:rPr>
              <w:t>a) Actividades realizadas:</w:t>
            </w:r>
          </w:p>
        </w:tc>
        <w:tc>
          <w:tcPr>
            <w:tcW w:w="2642" w:type="pct"/>
            <w:shd w:val="clear" w:color="auto" w:fill="auto"/>
          </w:tcPr>
          <w:p w:rsidR="0040650E" w:rsidRPr="00233ACA" w:rsidRDefault="0040650E" w:rsidP="0040650E">
            <w:pPr>
              <w:spacing w:after="0" w:line="240" w:lineRule="auto"/>
              <w:jc w:val="both"/>
              <w:rPr>
                <w:rFonts w:ascii="Arial" w:eastAsia="Times New Roman" w:hAnsi="Arial" w:cs="Arial"/>
                <w:sz w:val="18"/>
                <w:szCs w:val="18"/>
                <w:lang w:eastAsia="es-ES"/>
              </w:rPr>
            </w:pPr>
            <w:r w:rsidRPr="00233ACA">
              <w:rPr>
                <w:rFonts w:ascii="Arial" w:eastAsia="Times New Roman" w:hAnsi="Arial" w:cs="Arial"/>
                <w:sz w:val="18"/>
                <w:szCs w:val="18"/>
                <w:lang w:eastAsia="es-ES"/>
              </w:rPr>
              <w:t>- Se analizó el Estudio Actuarial, según Contratación Directa 2016CD-000006-01 denominada “Contratación de Servicios Actuariales para la Evaluación Integral del Sistema de Ahorro y Préstamo del INVU”.</w:t>
            </w:r>
          </w:p>
          <w:p w:rsidR="0040650E" w:rsidRPr="00233ACA" w:rsidRDefault="0040650E" w:rsidP="0040650E">
            <w:pPr>
              <w:spacing w:after="0" w:line="240" w:lineRule="auto"/>
              <w:jc w:val="both"/>
              <w:rPr>
                <w:rFonts w:ascii="Arial" w:eastAsia="Times New Roman" w:hAnsi="Arial" w:cs="Arial"/>
                <w:sz w:val="18"/>
                <w:szCs w:val="18"/>
                <w:lang w:eastAsia="es-ES"/>
              </w:rPr>
            </w:pPr>
            <w:r w:rsidRPr="00233ACA">
              <w:rPr>
                <w:rFonts w:ascii="Arial" w:eastAsia="Times New Roman" w:hAnsi="Arial" w:cs="Arial"/>
                <w:sz w:val="18"/>
                <w:szCs w:val="18"/>
                <w:lang w:eastAsia="es-ES"/>
              </w:rPr>
              <w:t>- Se replanteo la Comisión de Fortalecimiento del Sistema de Ahorro y Préstamo (SAP), según oficio de la Gerencia General GG-166-2017, de fecha 16 de febrero 2017.</w:t>
            </w:r>
          </w:p>
          <w:p w:rsidR="0040650E" w:rsidRPr="00233ACA" w:rsidRDefault="0040650E" w:rsidP="0040650E">
            <w:pPr>
              <w:spacing w:after="0" w:line="240" w:lineRule="auto"/>
              <w:jc w:val="both"/>
              <w:rPr>
                <w:rFonts w:ascii="Arial" w:eastAsia="Times New Roman" w:hAnsi="Arial" w:cs="Arial"/>
                <w:sz w:val="18"/>
                <w:szCs w:val="18"/>
                <w:lang w:eastAsia="es-ES"/>
              </w:rPr>
            </w:pPr>
            <w:r w:rsidRPr="00233ACA">
              <w:rPr>
                <w:rFonts w:ascii="Arial" w:eastAsia="Times New Roman" w:hAnsi="Arial" w:cs="Arial"/>
                <w:sz w:val="18"/>
                <w:szCs w:val="18"/>
                <w:lang w:eastAsia="es-ES"/>
              </w:rPr>
              <w:t>- Se presentó ante Junta Directiva el informe de fiscalización de la contratación del Estudio Actuarial.</w:t>
            </w:r>
          </w:p>
          <w:p w:rsidR="0040650E" w:rsidRPr="00233ACA" w:rsidRDefault="0040650E" w:rsidP="0040650E">
            <w:pPr>
              <w:spacing w:after="0" w:line="240" w:lineRule="auto"/>
              <w:jc w:val="both"/>
              <w:rPr>
                <w:rFonts w:ascii="Arial" w:eastAsia="Times New Roman" w:hAnsi="Arial" w:cs="Arial"/>
                <w:sz w:val="18"/>
                <w:szCs w:val="18"/>
                <w:lang w:eastAsia="es-ES"/>
              </w:rPr>
            </w:pPr>
            <w:r w:rsidRPr="00233ACA">
              <w:rPr>
                <w:rFonts w:ascii="Arial" w:eastAsia="Times New Roman" w:hAnsi="Arial" w:cs="Arial"/>
                <w:sz w:val="18"/>
                <w:szCs w:val="18"/>
                <w:lang w:eastAsia="es-ES"/>
              </w:rPr>
              <w:t>- Se realizó un análisis del Sistema de Ahorro y Préstamo (SAP), por parte de la Junta Directiva y la comisión mencionada.</w:t>
            </w:r>
          </w:p>
          <w:p w:rsidR="0040650E" w:rsidRPr="00233ACA" w:rsidRDefault="0040650E" w:rsidP="0040650E">
            <w:pPr>
              <w:spacing w:after="0" w:line="240" w:lineRule="auto"/>
              <w:jc w:val="both"/>
              <w:rPr>
                <w:rFonts w:ascii="Arial" w:eastAsia="Times New Roman" w:hAnsi="Arial" w:cs="Arial"/>
                <w:sz w:val="18"/>
                <w:szCs w:val="18"/>
                <w:lang w:eastAsia="es-ES"/>
              </w:rPr>
            </w:pPr>
            <w:r w:rsidRPr="00233ACA">
              <w:rPr>
                <w:rFonts w:ascii="Arial" w:eastAsia="Times New Roman" w:hAnsi="Arial" w:cs="Arial"/>
                <w:sz w:val="18"/>
                <w:szCs w:val="18"/>
                <w:lang w:eastAsia="es-ES"/>
              </w:rPr>
              <w:t xml:space="preserve">- Se aprobó por parte de Junta Directiva, la propuesta para mejorar las condiciones financieras del SAP, mediante Acta de Sesión Extraordinaria No. 6271, del 28 de julio del 2017. </w:t>
            </w:r>
          </w:p>
          <w:p w:rsidR="0040650E" w:rsidRPr="0040650E" w:rsidRDefault="0040650E" w:rsidP="0040650E">
            <w:pPr>
              <w:spacing w:after="0" w:line="240" w:lineRule="auto"/>
              <w:jc w:val="both"/>
              <w:rPr>
                <w:rFonts w:ascii="Arial" w:eastAsia="Times New Roman" w:hAnsi="Arial" w:cs="Arial"/>
                <w:sz w:val="20"/>
                <w:szCs w:val="20"/>
                <w:lang w:eastAsia="es-ES"/>
              </w:rPr>
            </w:pPr>
            <w:r w:rsidRPr="00233ACA">
              <w:rPr>
                <w:rFonts w:ascii="Arial" w:eastAsia="Times New Roman" w:hAnsi="Arial" w:cs="Arial"/>
                <w:sz w:val="18"/>
                <w:szCs w:val="18"/>
                <w:lang w:eastAsia="es-ES"/>
              </w:rPr>
              <w:t>- Se implementaron las nuevas condiciones del Sistema de Ahorro y Préstamo (SAP), a partir de agosto 2017.</w:t>
            </w:r>
            <w:r w:rsidRPr="0040650E">
              <w:rPr>
                <w:rFonts w:ascii="Arial" w:eastAsia="Times New Roman" w:hAnsi="Arial" w:cs="Arial"/>
                <w:sz w:val="20"/>
                <w:szCs w:val="20"/>
                <w:lang w:eastAsia="es-ES"/>
              </w:rPr>
              <w:t xml:space="preserve"> </w:t>
            </w:r>
          </w:p>
        </w:tc>
      </w:tr>
      <w:tr w:rsidR="0040650E" w:rsidRPr="0040650E" w:rsidTr="00746DC0">
        <w:trPr>
          <w:trHeight w:val="546"/>
        </w:trPr>
        <w:tc>
          <w:tcPr>
            <w:tcW w:w="2358" w:type="pct"/>
            <w:shd w:val="clear" w:color="auto" w:fill="auto"/>
            <w:hideMark/>
          </w:tcPr>
          <w:p w:rsidR="0040650E" w:rsidRPr="0040650E" w:rsidRDefault="0040650E" w:rsidP="0040650E">
            <w:pPr>
              <w:spacing w:after="0" w:line="240" w:lineRule="auto"/>
              <w:jc w:val="both"/>
              <w:rPr>
                <w:rFonts w:ascii="Arial" w:eastAsia="Times New Roman" w:hAnsi="Arial" w:cs="Arial"/>
                <w:sz w:val="20"/>
                <w:szCs w:val="20"/>
                <w:lang w:eastAsia="es-ES"/>
              </w:rPr>
            </w:pPr>
            <w:r w:rsidRPr="0040650E">
              <w:rPr>
                <w:rFonts w:ascii="Arial" w:eastAsia="Times New Roman" w:hAnsi="Arial" w:cs="Arial"/>
                <w:sz w:val="20"/>
                <w:szCs w:val="20"/>
                <w:lang w:eastAsia="es-ES"/>
              </w:rPr>
              <w:t xml:space="preserve">b) Limitaciones: </w:t>
            </w:r>
          </w:p>
        </w:tc>
        <w:tc>
          <w:tcPr>
            <w:tcW w:w="2642" w:type="pct"/>
            <w:shd w:val="clear" w:color="auto" w:fill="auto"/>
          </w:tcPr>
          <w:p w:rsidR="0040650E" w:rsidRPr="0040650E" w:rsidRDefault="0040650E" w:rsidP="0040650E">
            <w:pPr>
              <w:spacing w:after="0" w:line="240" w:lineRule="auto"/>
              <w:jc w:val="both"/>
              <w:rPr>
                <w:rFonts w:ascii="Arial" w:eastAsia="Times New Roman" w:hAnsi="Arial" w:cs="Arial"/>
                <w:sz w:val="20"/>
                <w:szCs w:val="20"/>
                <w:lang w:eastAsia="es-ES"/>
              </w:rPr>
            </w:pPr>
          </w:p>
        </w:tc>
      </w:tr>
      <w:tr w:rsidR="0040650E" w:rsidRPr="0040650E" w:rsidTr="00746DC0">
        <w:trPr>
          <w:trHeight w:val="823"/>
        </w:trPr>
        <w:tc>
          <w:tcPr>
            <w:tcW w:w="2358" w:type="pct"/>
            <w:shd w:val="clear" w:color="auto" w:fill="auto"/>
            <w:hideMark/>
          </w:tcPr>
          <w:p w:rsidR="0040650E" w:rsidRPr="0040650E" w:rsidRDefault="0040650E" w:rsidP="0040650E">
            <w:pPr>
              <w:spacing w:after="0" w:line="240" w:lineRule="auto"/>
              <w:jc w:val="both"/>
              <w:rPr>
                <w:rFonts w:ascii="Arial" w:eastAsia="Times New Roman" w:hAnsi="Arial" w:cs="Arial"/>
                <w:sz w:val="20"/>
                <w:szCs w:val="20"/>
                <w:lang w:eastAsia="es-ES"/>
              </w:rPr>
            </w:pPr>
            <w:r w:rsidRPr="0040650E">
              <w:rPr>
                <w:rFonts w:ascii="Arial" w:eastAsia="Times New Roman" w:hAnsi="Arial" w:cs="Arial"/>
                <w:sz w:val="20"/>
                <w:szCs w:val="20"/>
                <w:lang w:eastAsia="es-ES"/>
              </w:rPr>
              <w:t>c) Medidas correctivas o acciones de mejora (realizadas y por realizar) para el logro de la meta:</w:t>
            </w:r>
          </w:p>
        </w:tc>
        <w:tc>
          <w:tcPr>
            <w:tcW w:w="2642" w:type="pct"/>
            <w:shd w:val="clear" w:color="auto" w:fill="auto"/>
          </w:tcPr>
          <w:p w:rsidR="0040650E" w:rsidRPr="0040650E" w:rsidRDefault="0040650E" w:rsidP="0040650E">
            <w:pPr>
              <w:spacing w:after="0" w:line="240" w:lineRule="auto"/>
              <w:jc w:val="both"/>
              <w:rPr>
                <w:rFonts w:ascii="Arial" w:eastAsia="Times New Roman" w:hAnsi="Arial" w:cs="Arial"/>
                <w:sz w:val="20"/>
                <w:szCs w:val="20"/>
                <w:lang w:eastAsia="es-ES"/>
              </w:rPr>
            </w:pPr>
          </w:p>
        </w:tc>
      </w:tr>
      <w:tr w:rsidR="0040650E" w:rsidRPr="0040650E" w:rsidTr="00746DC0">
        <w:trPr>
          <w:trHeight w:val="657"/>
        </w:trPr>
        <w:tc>
          <w:tcPr>
            <w:tcW w:w="2358" w:type="pct"/>
            <w:shd w:val="clear" w:color="auto" w:fill="auto"/>
          </w:tcPr>
          <w:p w:rsidR="0040650E" w:rsidRPr="0040650E" w:rsidRDefault="0040650E" w:rsidP="0040650E">
            <w:pPr>
              <w:spacing w:after="0" w:line="240" w:lineRule="auto"/>
              <w:jc w:val="both"/>
              <w:rPr>
                <w:rFonts w:ascii="Arial" w:eastAsia="Times New Roman" w:hAnsi="Arial" w:cs="Arial"/>
                <w:sz w:val="20"/>
                <w:szCs w:val="20"/>
                <w:lang w:eastAsia="es-ES"/>
              </w:rPr>
            </w:pPr>
            <w:r w:rsidRPr="0040650E">
              <w:rPr>
                <w:rFonts w:ascii="Arial" w:eastAsia="Times New Roman" w:hAnsi="Arial" w:cs="Arial"/>
                <w:sz w:val="20"/>
                <w:szCs w:val="20"/>
                <w:lang w:eastAsia="es-ES"/>
              </w:rPr>
              <w:t>e) Observaciones:</w:t>
            </w:r>
          </w:p>
        </w:tc>
        <w:tc>
          <w:tcPr>
            <w:tcW w:w="2642" w:type="pct"/>
            <w:shd w:val="clear" w:color="auto" w:fill="auto"/>
          </w:tcPr>
          <w:p w:rsidR="0040650E" w:rsidRPr="0040650E" w:rsidRDefault="0040650E" w:rsidP="0040650E">
            <w:pPr>
              <w:spacing w:after="0" w:line="240" w:lineRule="auto"/>
              <w:jc w:val="both"/>
              <w:rPr>
                <w:rFonts w:ascii="Arial" w:eastAsia="Times New Roman" w:hAnsi="Arial" w:cs="Arial"/>
                <w:sz w:val="20"/>
                <w:szCs w:val="20"/>
                <w:lang w:eastAsia="es-ES"/>
              </w:rPr>
            </w:pPr>
          </w:p>
        </w:tc>
      </w:tr>
    </w:tbl>
    <w:p w:rsidR="00DA62C0" w:rsidRPr="00233ACA" w:rsidRDefault="0040650E" w:rsidP="0040650E">
      <w:pPr>
        <w:spacing w:after="0" w:line="240" w:lineRule="auto"/>
        <w:jc w:val="both"/>
        <w:rPr>
          <w:rFonts w:ascii="Arial" w:eastAsia="Times New Roman" w:hAnsi="Arial" w:cs="Arial"/>
          <w:sz w:val="18"/>
          <w:szCs w:val="18"/>
          <w:lang w:eastAsia="es-ES"/>
        </w:rPr>
      </w:pPr>
      <w:r w:rsidRPr="00233ACA">
        <w:rPr>
          <w:rFonts w:ascii="Arial" w:eastAsia="Times New Roman" w:hAnsi="Arial" w:cs="Arial"/>
          <w:sz w:val="18"/>
          <w:szCs w:val="18"/>
          <w:lang w:eastAsia="es-ES"/>
        </w:rPr>
        <w:t>Nota Fuente: Informe de rendimiento de cuentas de área. (2017)</w:t>
      </w:r>
      <w:r w:rsidR="00DA62C0" w:rsidRPr="00233ACA">
        <w:rPr>
          <w:rFonts w:ascii="Arial" w:eastAsia="Times New Roman" w:hAnsi="Arial" w:cs="Arial"/>
          <w:sz w:val="18"/>
          <w:szCs w:val="18"/>
          <w:lang w:eastAsia="es-ES"/>
        </w:rPr>
        <w:br w:type="page"/>
      </w:r>
    </w:p>
    <w:p w:rsidR="001E43F5" w:rsidRPr="00253E06" w:rsidRDefault="001E43F5" w:rsidP="000665F1">
      <w:pPr>
        <w:pStyle w:val="Ttulo2"/>
        <w:keepLines w:val="0"/>
        <w:numPr>
          <w:ilvl w:val="0"/>
          <w:numId w:val="3"/>
        </w:numPr>
        <w:spacing w:before="240" w:after="60" w:line="240" w:lineRule="auto"/>
        <w:jc w:val="both"/>
        <w:rPr>
          <w:rFonts w:ascii="Arial" w:eastAsia="Times New Roman" w:hAnsi="Arial" w:cs="Times New Roman"/>
          <w:bCs w:val="0"/>
          <w:color w:val="auto"/>
          <w:sz w:val="20"/>
          <w:szCs w:val="20"/>
          <w:lang w:eastAsia="es-ES"/>
        </w:rPr>
      </w:pPr>
      <w:r w:rsidRPr="00253E06">
        <w:rPr>
          <w:rFonts w:ascii="Arial" w:eastAsia="Times New Roman" w:hAnsi="Arial" w:cs="Times New Roman"/>
          <w:bCs w:val="0"/>
          <w:color w:val="auto"/>
          <w:sz w:val="20"/>
          <w:szCs w:val="20"/>
          <w:lang w:eastAsia="es-ES"/>
        </w:rPr>
        <w:lastRenderedPageBreak/>
        <w:t>Gestión Documental</w:t>
      </w:r>
    </w:p>
    <w:p w:rsidR="00253E06" w:rsidRDefault="00253E06" w:rsidP="001E43F5">
      <w:pPr>
        <w:jc w:val="both"/>
        <w:rPr>
          <w:rFonts w:ascii="Arial" w:eastAsia="Times New Roman" w:hAnsi="Arial" w:cs="Arial"/>
          <w:bCs/>
          <w:color w:val="000000"/>
          <w:sz w:val="20"/>
          <w:szCs w:val="20"/>
          <w:lang w:eastAsia="es-CR"/>
        </w:rPr>
      </w:pPr>
    </w:p>
    <w:p w:rsidR="001E43F5" w:rsidRPr="001E43F5" w:rsidRDefault="001E43F5" w:rsidP="001E43F5">
      <w:pPr>
        <w:jc w:val="both"/>
        <w:rPr>
          <w:rFonts w:ascii="Arial" w:eastAsia="Times New Roman" w:hAnsi="Arial" w:cs="Arial"/>
          <w:bCs/>
          <w:color w:val="000000"/>
          <w:sz w:val="20"/>
          <w:szCs w:val="20"/>
          <w:lang w:eastAsia="es-CR"/>
        </w:rPr>
      </w:pPr>
      <w:r w:rsidRPr="001E43F5">
        <w:rPr>
          <w:rFonts w:ascii="Arial" w:eastAsia="Times New Roman" w:hAnsi="Arial" w:cs="Arial"/>
          <w:bCs/>
          <w:color w:val="000000"/>
          <w:sz w:val="20"/>
          <w:szCs w:val="20"/>
          <w:lang w:eastAsia="es-CR"/>
        </w:rPr>
        <w:t>En referencia a la reorganización documental seguidamente se muestra el detalle de lo actuado, a diciembre 2017:</w:t>
      </w:r>
    </w:p>
    <w:tbl>
      <w:tblPr>
        <w:tblW w:w="5145" w:type="pct"/>
        <w:tblBorders>
          <w:insideH w:val="single" w:sz="6" w:space="0" w:color="000000"/>
          <w:insideV w:val="single" w:sz="6" w:space="0" w:color="000000"/>
        </w:tblBorders>
        <w:tblLook w:val="04A0" w:firstRow="1" w:lastRow="0" w:firstColumn="1" w:lastColumn="0" w:noHBand="0" w:noVBand="1"/>
      </w:tblPr>
      <w:tblGrid>
        <w:gridCol w:w="9319"/>
      </w:tblGrid>
      <w:tr w:rsidR="001E43F5" w:rsidRPr="001E43F5" w:rsidTr="00746DC0">
        <w:trPr>
          <w:trHeight w:val="271"/>
        </w:trPr>
        <w:tc>
          <w:tcPr>
            <w:tcW w:w="5000" w:type="pct"/>
            <w:shd w:val="clear" w:color="auto" w:fill="auto"/>
            <w:noWrap/>
            <w:hideMark/>
          </w:tcPr>
          <w:tbl>
            <w:tblPr>
              <w:tblW w:w="9103" w:type="dxa"/>
              <w:tblBorders>
                <w:insideH w:val="single" w:sz="6" w:space="0" w:color="000000"/>
                <w:insideV w:val="single" w:sz="6" w:space="0" w:color="000000"/>
              </w:tblBorders>
              <w:tblLook w:val="04A0" w:firstRow="1" w:lastRow="0" w:firstColumn="1" w:lastColumn="0" w:noHBand="0" w:noVBand="1"/>
            </w:tblPr>
            <w:tblGrid>
              <w:gridCol w:w="4293"/>
              <w:gridCol w:w="4810"/>
            </w:tblGrid>
            <w:tr w:rsidR="001E43F5" w:rsidRPr="001E43F5" w:rsidTr="00746DC0">
              <w:trPr>
                <w:trHeight w:val="270"/>
              </w:trPr>
              <w:tc>
                <w:tcPr>
                  <w:tcW w:w="5000" w:type="pct"/>
                  <w:gridSpan w:val="2"/>
                  <w:shd w:val="clear" w:color="auto" w:fill="auto"/>
                  <w:noWrap/>
                  <w:hideMark/>
                </w:tcPr>
                <w:p w:rsidR="001E43F5" w:rsidRPr="001E43F5" w:rsidRDefault="001E43F5" w:rsidP="001E43F5">
                  <w:pPr>
                    <w:spacing w:after="0" w:line="240" w:lineRule="auto"/>
                    <w:jc w:val="both"/>
                    <w:rPr>
                      <w:rFonts w:ascii="Arial" w:eastAsia="Times New Roman" w:hAnsi="Arial" w:cs="Arial"/>
                      <w:bCs/>
                      <w:color w:val="000000"/>
                      <w:sz w:val="20"/>
                      <w:szCs w:val="20"/>
                      <w:lang w:eastAsia="es-CR"/>
                    </w:rPr>
                  </w:pPr>
                </w:p>
                <w:p w:rsidR="001E43F5" w:rsidRPr="00253E06" w:rsidRDefault="001E43F5" w:rsidP="00744CE6">
                  <w:pPr>
                    <w:spacing w:after="0" w:line="240" w:lineRule="auto"/>
                    <w:jc w:val="center"/>
                    <w:rPr>
                      <w:rFonts w:ascii="Arial" w:eastAsia="Times New Roman" w:hAnsi="Arial" w:cs="Arial"/>
                      <w:b/>
                      <w:bCs/>
                      <w:color w:val="000000"/>
                      <w:sz w:val="20"/>
                      <w:szCs w:val="20"/>
                      <w:lang w:eastAsia="es-CR"/>
                    </w:rPr>
                  </w:pPr>
                  <w:r w:rsidRPr="00253E06">
                    <w:rPr>
                      <w:rFonts w:ascii="Arial" w:eastAsia="Times New Roman" w:hAnsi="Arial" w:cs="Arial"/>
                      <w:b/>
                      <w:bCs/>
                      <w:color w:val="000000"/>
                      <w:sz w:val="20"/>
                      <w:szCs w:val="20"/>
                      <w:lang w:eastAsia="es-CR"/>
                    </w:rPr>
                    <w:t>Tabla 1</w:t>
                  </w:r>
                  <w:r w:rsidR="00744CE6">
                    <w:rPr>
                      <w:rFonts w:ascii="Arial" w:eastAsia="Times New Roman" w:hAnsi="Arial" w:cs="Arial"/>
                      <w:b/>
                      <w:bCs/>
                      <w:color w:val="000000"/>
                      <w:sz w:val="20"/>
                      <w:szCs w:val="20"/>
                      <w:lang w:eastAsia="es-CR"/>
                    </w:rPr>
                    <w:t>1</w:t>
                  </w:r>
                  <w:r w:rsidRPr="00253E06">
                    <w:rPr>
                      <w:rFonts w:ascii="Arial" w:eastAsia="Times New Roman" w:hAnsi="Arial" w:cs="Arial"/>
                      <w:b/>
                      <w:bCs/>
                      <w:color w:val="000000"/>
                      <w:sz w:val="20"/>
                      <w:szCs w:val="20"/>
                      <w:lang w:eastAsia="es-CR"/>
                    </w:rPr>
                    <w:t xml:space="preserve"> Acciones Realizadas</w:t>
                  </w:r>
                </w:p>
              </w:tc>
            </w:tr>
            <w:tr w:rsidR="001E43F5" w:rsidRPr="001E43F5" w:rsidTr="00746DC0">
              <w:trPr>
                <w:trHeight w:val="825"/>
              </w:trPr>
              <w:tc>
                <w:tcPr>
                  <w:tcW w:w="2358" w:type="pct"/>
                  <w:shd w:val="clear" w:color="auto" w:fill="auto"/>
                  <w:hideMark/>
                </w:tcPr>
                <w:p w:rsidR="001E43F5" w:rsidRPr="001E43F5" w:rsidRDefault="001E43F5" w:rsidP="001E43F5">
                  <w:pPr>
                    <w:spacing w:after="0" w:line="240" w:lineRule="auto"/>
                    <w:jc w:val="both"/>
                    <w:rPr>
                      <w:rFonts w:ascii="Arial" w:eastAsia="Times New Roman" w:hAnsi="Arial" w:cs="Arial"/>
                      <w:bCs/>
                      <w:color w:val="000000"/>
                      <w:sz w:val="20"/>
                      <w:szCs w:val="20"/>
                      <w:lang w:eastAsia="es-CR"/>
                    </w:rPr>
                  </w:pPr>
                  <w:r w:rsidRPr="001E43F5">
                    <w:rPr>
                      <w:rFonts w:ascii="Arial" w:eastAsia="Times New Roman" w:hAnsi="Arial" w:cs="Arial"/>
                      <w:bCs/>
                      <w:color w:val="000000"/>
                      <w:sz w:val="20"/>
                      <w:szCs w:val="20"/>
                      <w:lang w:eastAsia="es-CR"/>
                    </w:rPr>
                    <w:t>a) Actividades realizadas:</w:t>
                  </w:r>
                </w:p>
              </w:tc>
              <w:tc>
                <w:tcPr>
                  <w:tcW w:w="2642" w:type="pct"/>
                  <w:shd w:val="clear" w:color="auto" w:fill="auto"/>
                </w:tcPr>
                <w:p w:rsidR="001E43F5" w:rsidRPr="001E43F5" w:rsidRDefault="001E43F5" w:rsidP="001E43F5">
                  <w:pPr>
                    <w:spacing w:after="0" w:line="240" w:lineRule="auto"/>
                    <w:jc w:val="both"/>
                    <w:rPr>
                      <w:rFonts w:ascii="Arial" w:eastAsia="Times New Roman" w:hAnsi="Arial" w:cs="Arial"/>
                      <w:bCs/>
                      <w:color w:val="000000"/>
                      <w:sz w:val="20"/>
                      <w:szCs w:val="20"/>
                      <w:lang w:eastAsia="es-CR"/>
                    </w:rPr>
                  </w:pPr>
                  <w:r w:rsidRPr="001E43F5">
                    <w:rPr>
                      <w:rFonts w:ascii="Arial" w:eastAsia="Times New Roman" w:hAnsi="Arial" w:cs="Arial"/>
                      <w:bCs/>
                      <w:color w:val="000000"/>
                      <w:sz w:val="20"/>
                      <w:szCs w:val="20"/>
                      <w:lang w:eastAsia="es-CR"/>
                    </w:rPr>
                    <w:t xml:space="preserve">- Se realizaron cinco talleres sobre “Tablas de plazos de conservación documental (TPCD)”, los cuales se realizaron en fecha 09, 10, 11, 13 y 24 de enero 2017. Se continúa con las asesorías sobre la creación de la TPCD. </w:t>
                  </w:r>
                </w:p>
                <w:p w:rsidR="001E43F5" w:rsidRPr="001E43F5" w:rsidRDefault="001E43F5" w:rsidP="001E43F5">
                  <w:pPr>
                    <w:spacing w:after="0" w:line="240" w:lineRule="auto"/>
                    <w:jc w:val="both"/>
                    <w:rPr>
                      <w:rFonts w:ascii="Arial" w:eastAsia="Times New Roman" w:hAnsi="Arial" w:cs="Arial"/>
                      <w:bCs/>
                      <w:color w:val="000000"/>
                      <w:sz w:val="20"/>
                      <w:szCs w:val="20"/>
                      <w:lang w:eastAsia="es-CR"/>
                    </w:rPr>
                  </w:pPr>
                  <w:r w:rsidRPr="001E43F5">
                    <w:rPr>
                      <w:rFonts w:ascii="Arial" w:eastAsia="Times New Roman" w:hAnsi="Arial" w:cs="Arial"/>
                      <w:bCs/>
                      <w:color w:val="000000"/>
                      <w:sz w:val="20"/>
                      <w:szCs w:val="20"/>
                      <w:lang w:eastAsia="es-CR"/>
                    </w:rPr>
                    <w:t>- Se elaboró un formulario para verificar el cumplimiento de la circular N°27-2016, sobre “Organización y Foliación de Expedientes Administrativos”, del Archivo Nacional.</w:t>
                  </w:r>
                </w:p>
                <w:p w:rsidR="001E43F5" w:rsidRPr="001E43F5" w:rsidRDefault="001E43F5" w:rsidP="001E43F5">
                  <w:pPr>
                    <w:spacing w:after="0" w:line="240" w:lineRule="auto"/>
                    <w:jc w:val="both"/>
                    <w:rPr>
                      <w:rFonts w:ascii="Arial" w:eastAsia="Times New Roman" w:hAnsi="Arial" w:cs="Arial"/>
                      <w:bCs/>
                      <w:color w:val="000000"/>
                      <w:sz w:val="20"/>
                      <w:szCs w:val="20"/>
                      <w:lang w:eastAsia="es-CR"/>
                    </w:rPr>
                  </w:pPr>
                  <w:r w:rsidRPr="001E43F5">
                    <w:rPr>
                      <w:rFonts w:ascii="Arial" w:eastAsia="Times New Roman" w:hAnsi="Arial" w:cs="Arial"/>
                      <w:bCs/>
                      <w:color w:val="000000"/>
                      <w:sz w:val="20"/>
                      <w:szCs w:val="20"/>
                      <w:lang w:eastAsia="es-CR"/>
                    </w:rPr>
                    <w:t>- Se verificó el cumplimiento del manejo de expedientes, de acuerdo con la Circular N°27-2016 del Archivo Nacional. Se elaboró un informe sobre el grado de cumplimiento y se remitió mediante oficio AC-053-2017 a la Jefatura del DAF.</w:t>
                  </w:r>
                </w:p>
                <w:p w:rsidR="001E43F5" w:rsidRPr="001E43F5" w:rsidRDefault="001E43F5" w:rsidP="001E43F5">
                  <w:pPr>
                    <w:spacing w:after="0" w:line="240" w:lineRule="auto"/>
                    <w:jc w:val="both"/>
                    <w:rPr>
                      <w:rFonts w:ascii="Arial" w:eastAsia="Times New Roman" w:hAnsi="Arial" w:cs="Arial"/>
                      <w:bCs/>
                      <w:color w:val="000000"/>
                      <w:sz w:val="20"/>
                      <w:szCs w:val="20"/>
                      <w:lang w:eastAsia="es-CR"/>
                    </w:rPr>
                  </w:pPr>
                  <w:r w:rsidRPr="001E43F5">
                    <w:rPr>
                      <w:rFonts w:ascii="Arial" w:eastAsia="Times New Roman" w:hAnsi="Arial" w:cs="Arial"/>
                      <w:bCs/>
                      <w:color w:val="000000"/>
                      <w:sz w:val="20"/>
                      <w:szCs w:val="20"/>
                      <w:lang w:eastAsia="es-CR"/>
                    </w:rPr>
                    <w:t xml:space="preserve">- Se continuó con la organización de expedientes del Archivo de Gestión Especializado de Expedientes, previo registro en la base de datos. La actividad es realizada por el Archivo Central, que respalda a los Archivos de Gestión. </w:t>
                  </w:r>
                </w:p>
                <w:p w:rsidR="001E43F5" w:rsidRPr="001E43F5" w:rsidRDefault="001E43F5" w:rsidP="001E43F5">
                  <w:pPr>
                    <w:spacing w:after="0" w:line="240" w:lineRule="auto"/>
                    <w:jc w:val="both"/>
                    <w:rPr>
                      <w:rFonts w:ascii="Arial" w:eastAsia="Times New Roman" w:hAnsi="Arial" w:cs="Arial"/>
                      <w:bCs/>
                      <w:color w:val="000000"/>
                      <w:sz w:val="20"/>
                      <w:szCs w:val="20"/>
                      <w:lang w:eastAsia="es-CR"/>
                    </w:rPr>
                  </w:pPr>
                  <w:r w:rsidRPr="001E43F5">
                    <w:rPr>
                      <w:rFonts w:ascii="Arial" w:eastAsia="Times New Roman" w:hAnsi="Arial" w:cs="Arial"/>
                      <w:bCs/>
                      <w:color w:val="000000"/>
                      <w:sz w:val="20"/>
                      <w:szCs w:val="20"/>
                      <w:lang w:eastAsia="es-CR"/>
                    </w:rPr>
                    <w:t>- Se atendieron solicitudes de préstamo del Archivo Central (AC) y del Archivo de Gestión Especializada de Expedientes (AGEE).</w:t>
                  </w:r>
                </w:p>
                <w:p w:rsidR="001E43F5" w:rsidRPr="001E43F5" w:rsidRDefault="001E43F5" w:rsidP="001E43F5">
                  <w:pPr>
                    <w:spacing w:after="0" w:line="240" w:lineRule="auto"/>
                    <w:jc w:val="both"/>
                    <w:rPr>
                      <w:rFonts w:ascii="Arial" w:eastAsia="Times New Roman" w:hAnsi="Arial" w:cs="Arial"/>
                      <w:bCs/>
                      <w:color w:val="000000"/>
                      <w:sz w:val="20"/>
                      <w:szCs w:val="20"/>
                      <w:lang w:eastAsia="es-CR"/>
                    </w:rPr>
                  </w:pPr>
                  <w:r w:rsidRPr="001E43F5">
                    <w:rPr>
                      <w:rFonts w:ascii="Arial" w:eastAsia="Times New Roman" w:hAnsi="Arial" w:cs="Arial"/>
                      <w:bCs/>
                      <w:color w:val="000000"/>
                      <w:sz w:val="20"/>
                      <w:szCs w:val="20"/>
                      <w:lang w:eastAsia="es-CR"/>
                    </w:rPr>
                    <w:t xml:space="preserve">- Se realizaron inventarios de los expedientes de  Junta Directiva (sesiones de junta), Área Financiera (documentación ubicada en el Archivo Central) y de Talento Humano (expedientes de exfuncionario).  </w:t>
                  </w:r>
                </w:p>
                <w:p w:rsidR="001E43F5" w:rsidRPr="001E43F5" w:rsidRDefault="001E43F5" w:rsidP="001E43F5">
                  <w:pPr>
                    <w:spacing w:after="0" w:line="240" w:lineRule="auto"/>
                    <w:jc w:val="both"/>
                    <w:rPr>
                      <w:rFonts w:ascii="Arial" w:eastAsia="Times New Roman" w:hAnsi="Arial" w:cs="Arial"/>
                      <w:bCs/>
                      <w:color w:val="000000"/>
                      <w:sz w:val="20"/>
                      <w:szCs w:val="20"/>
                      <w:lang w:eastAsia="es-CR"/>
                    </w:rPr>
                  </w:pPr>
                  <w:r w:rsidRPr="001E43F5">
                    <w:rPr>
                      <w:rFonts w:ascii="Arial" w:eastAsia="Times New Roman" w:hAnsi="Arial" w:cs="Arial"/>
                      <w:bCs/>
                      <w:color w:val="000000"/>
                      <w:sz w:val="20"/>
                      <w:szCs w:val="20"/>
                      <w:lang w:eastAsia="es-CR"/>
                    </w:rPr>
                    <w:t xml:space="preserve">-  Se emitieron certificaciones y constancias del Archivo Central y del Archivo de Gestión Especializado de Expedientes (AGEE). </w:t>
                  </w:r>
                </w:p>
                <w:p w:rsidR="001E43F5" w:rsidRPr="001E43F5" w:rsidRDefault="001E43F5" w:rsidP="001E43F5">
                  <w:pPr>
                    <w:spacing w:after="0" w:line="240" w:lineRule="auto"/>
                    <w:jc w:val="both"/>
                    <w:rPr>
                      <w:rFonts w:ascii="Arial" w:eastAsia="Times New Roman" w:hAnsi="Arial" w:cs="Arial"/>
                      <w:bCs/>
                      <w:color w:val="000000"/>
                      <w:sz w:val="20"/>
                      <w:szCs w:val="20"/>
                      <w:lang w:eastAsia="es-CR"/>
                    </w:rPr>
                  </w:pPr>
                  <w:r w:rsidRPr="001E43F5">
                    <w:rPr>
                      <w:rFonts w:ascii="Arial" w:eastAsia="Times New Roman" w:hAnsi="Arial" w:cs="Arial"/>
                      <w:bCs/>
                      <w:color w:val="000000"/>
                      <w:sz w:val="20"/>
                      <w:szCs w:val="20"/>
                      <w:lang w:eastAsia="es-CR"/>
                    </w:rPr>
                    <w:t>-Se atendieron las solicitudes sobre la documentación que se custodia en la Empresa Guarda Documentos.</w:t>
                  </w:r>
                </w:p>
                <w:p w:rsidR="001E43F5" w:rsidRPr="001E43F5" w:rsidRDefault="001E43F5" w:rsidP="001E43F5">
                  <w:pPr>
                    <w:spacing w:after="0" w:line="240" w:lineRule="auto"/>
                    <w:jc w:val="both"/>
                    <w:rPr>
                      <w:rFonts w:ascii="Arial" w:eastAsia="Times New Roman" w:hAnsi="Arial" w:cs="Arial"/>
                      <w:bCs/>
                      <w:color w:val="000000"/>
                      <w:sz w:val="20"/>
                      <w:szCs w:val="20"/>
                      <w:lang w:eastAsia="es-CR"/>
                    </w:rPr>
                  </w:pPr>
                  <w:r w:rsidRPr="001E43F5">
                    <w:rPr>
                      <w:rFonts w:ascii="Arial" w:eastAsia="Times New Roman" w:hAnsi="Arial" w:cs="Arial"/>
                      <w:bCs/>
                      <w:color w:val="000000"/>
                      <w:sz w:val="20"/>
                      <w:szCs w:val="20"/>
                      <w:lang w:eastAsia="es-CR"/>
                    </w:rPr>
                    <w:t xml:space="preserve">- Se emitieron las siguientes circulares y oficios: </w:t>
                  </w:r>
                </w:p>
                <w:p w:rsidR="001E43F5" w:rsidRPr="001E43F5" w:rsidRDefault="001E43F5" w:rsidP="001E43F5">
                  <w:pPr>
                    <w:spacing w:after="0" w:line="240" w:lineRule="auto"/>
                    <w:jc w:val="both"/>
                    <w:rPr>
                      <w:rFonts w:ascii="Arial" w:eastAsia="Times New Roman" w:hAnsi="Arial" w:cs="Arial"/>
                      <w:bCs/>
                      <w:color w:val="000000"/>
                      <w:sz w:val="20"/>
                      <w:szCs w:val="20"/>
                      <w:lang w:eastAsia="es-CR"/>
                    </w:rPr>
                  </w:pPr>
                  <w:r w:rsidRPr="001E43F5">
                    <w:rPr>
                      <w:rFonts w:ascii="Arial" w:eastAsia="Times New Roman" w:hAnsi="Arial" w:cs="Arial"/>
                      <w:bCs/>
                      <w:color w:val="000000"/>
                      <w:sz w:val="20"/>
                      <w:szCs w:val="20"/>
                      <w:lang w:eastAsia="es-CR"/>
                    </w:rPr>
                    <w:t xml:space="preserve">N001-2017 sobre el Cumplimiento de la Circular </w:t>
                  </w:r>
                </w:p>
                <w:p w:rsidR="001E43F5" w:rsidRPr="001E43F5" w:rsidRDefault="001E43F5" w:rsidP="001E43F5">
                  <w:pPr>
                    <w:spacing w:after="0" w:line="240" w:lineRule="auto"/>
                    <w:jc w:val="both"/>
                    <w:rPr>
                      <w:rFonts w:ascii="Arial" w:eastAsia="Times New Roman" w:hAnsi="Arial" w:cs="Arial"/>
                      <w:bCs/>
                      <w:color w:val="000000"/>
                      <w:sz w:val="20"/>
                      <w:szCs w:val="20"/>
                      <w:lang w:eastAsia="es-CR"/>
                    </w:rPr>
                  </w:pPr>
                  <w:r w:rsidRPr="001E43F5">
                    <w:rPr>
                      <w:rFonts w:ascii="Arial" w:eastAsia="Times New Roman" w:hAnsi="Arial" w:cs="Arial"/>
                      <w:bCs/>
                      <w:color w:val="000000"/>
                      <w:sz w:val="20"/>
                      <w:szCs w:val="20"/>
                      <w:lang w:eastAsia="es-CR"/>
                    </w:rPr>
                    <w:t xml:space="preserve">N°#7-2016 sobre Organización y Foliación de </w:t>
                  </w:r>
                </w:p>
                <w:p w:rsidR="001E43F5" w:rsidRPr="001E43F5" w:rsidRDefault="001E43F5" w:rsidP="001E43F5">
                  <w:pPr>
                    <w:spacing w:after="0" w:line="240" w:lineRule="auto"/>
                    <w:jc w:val="both"/>
                    <w:rPr>
                      <w:rFonts w:ascii="Arial" w:eastAsia="Times New Roman" w:hAnsi="Arial" w:cs="Arial"/>
                      <w:bCs/>
                      <w:color w:val="000000"/>
                      <w:sz w:val="20"/>
                      <w:szCs w:val="20"/>
                      <w:lang w:eastAsia="es-CR"/>
                    </w:rPr>
                  </w:pPr>
                  <w:r w:rsidRPr="001E43F5">
                    <w:rPr>
                      <w:rFonts w:ascii="Arial" w:eastAsia="Times New Roman" w:hAnsi="Arial" w:cs="Arial"/>
                      <w:bCs/>
                      <w:color w:val="000000"/>
                      <w:sz w:val="20"/>
                      <w:szCs w:val="20"/>
                      <w:lang w:eastAsia="es-CR"/>
                    </w:rPr>
                    <w:t>Expedientes Administrativos.</w:t>
                  </w:r>
                </w:p>
                <w:p w:rsidR="001E43F5" w:rsidRPr="001E43F5" w:rsidRDefault="001E43F5" w:rsidP="001E43F5">
                  <w:pPr>
                    <w:spacing w:after="0" w:line="240" w:lineRule="auto"/>
                    <w:jc w:val="both"/>
                    <w:rPr>
                      <w:rFonts w:ascii="Arial" w:eastAsia="Times New Roman" w:hAnsi="Arial" w:cs="Arial"/>
                      <w:bCs/>
                      <w:color w:val="000000"/>
                      <w:sz w:val="20"/>
                      <w:szCs w:val="20"/>
                      <w:lang w:eastAsia="es-CR"/>
                    </w:rPr>
                  </w:pPr>
                  <w:r w:rsidRPr="001E43F5">
                    <w:rPr>
                      <w:rFonts w:ascii="Arial" w:eastAsia="Times New Roman" w:hAnsi="Arial" w:cs="Arial"/>
                      <w:bCs/>
                      <w:color w:val="000000"/>
                      <w:sz w:val="20"/>
                      <w:szCs w:val="20"/>
                      <w:lang w:eastAsia="es-CR"/>
                    </w:rPr>
                    <w:t>N002-2017 sobre dirección electrónica para recibir solicitudes de peticiones de expedientes del AGEE.</w:t>
                  </w:r>
                </w:p>
                <w:p w:rsidR="001E43F5" w:rsidRPr="001E43F5" w:rsidRDefault="001E43F5" w:rsidP="001E43F5">
                  <w:pPr>
                    <w:spacing w:after="0" w:line="240" w:lineRule="auto"/>
                    <w:jc w:val="both"/>
                    <w:rPr>
                      <w:rFonts w:ascii="Arial" w:eastAsia="Times New Roman" w:hAnsi="Arial" w:cs="Arial"/>
                      <w:bCs/>
                      <w:color w:val="000000"/>
                      <w:sz w:val="20"/>
                      <w:szCs w:val="20"/>
                      <w:lang w:eastAsia="es-CR"/>
                    </w:rPr>
                  </w:pPr>
                  <w:r w:rsidRPr="001E43F5">
                    <w:rPr>
                      <w:rFonts w:ascii="Arial" w:eastAsia="Times New Roman" w:hAnsi="Arial" w:cs="Arial"/>
                      <w:bCs/>
                      <w:color w:val="000000"/>
                      <w:sz w:val="20"/>
                      <w:szCs w:val="20"/>
                      <w:lang w:eastAsia="es-CR"/>
                    </w:rPr>
                    <w:t>I001-2017 sobre el Ciclo vital del documento.</w:t>
                  </w:r>
                </w:p>
                <w:p w:rsidR="001E43F5" w:rsidRPr="001E43F5" w:rsidRDefault="001E43F5" w:rsidP="001E43F5">
                  <w:pPr>
                    <w:spacing w:after="0" w:line="240" w:lineRule="auto"/>
                    <w:jc w:val="both"/>
                    <w:rPr>
                      <w:rFonts w:ascii="Arial" w:eastAsia="Times New Roman" w:hAnsi="Arial" w:cs="Arial"/>
                      <w:bCs/>
                      <w:color w:val="000000"/>
                      <w:sz w:val="20"/>
                      <w:szCs w:val="20"/>
                      <w:lang w:eastAsia="es-CR"/>
                    </w:rPr>
                  </w:pPr>
                  <w:r w:rsidRPr="001E43F5">
                    <w:rPr>
                      <w:rFonts w:ascii="Arial" w:eastAsia="Times New Roman" w:hAnsi="Arial" w:cs="Arial"/>
                      <w:bCs/>
                      <w:color w:val="000000"/>
                      <w:sz w:val="20"/>
                      <w:szCs w:val="20"/>
                      <w:lang w:eastAsia="es-CR"/>
                    </w:rPr>
                    <w:t>I002-2017 sobre el Manejo de expedientes en el INVU.</w:t>
                  </w:r>
                </w:p>
                <w:p w:rsidR="001E43F5" w:rsidRPr="001E43F5" w:rsidRDefault="001E43F5" w:rsidP="001E43F5">
                  <w:pPr>
                    <w:spacing w:after="0" w:line="240" w:lineRule="auto"/>
                    <w:jc w:val="both"/>
                    <w:rPr>
                      <w:rFonts w:ascii="Arial" w:eastAsia="Times New Roman" w:hAnsi="Arial" w:cs="Arial"/>
                      <w:bCs/>
                      <w:color w:val="000000"/>
                      <w:sz w:val="20"/>
                      <w:szCs w:val="20"/>
                      <w:lang w:eastAsia="es-CR"/>
                    </w:rPr>
                  </w:pPr>
                  <w:r w:rsidRPr="001E43F5">
                    <w:rPr>
                      <w:rFonts w:ascii="Arial" w:eastAsia="Times New Roman" w:hAnsi="Arial" w:cs="Arial"/>
                      <w:bCs/>
                      <w:color w:val="000000"/>
                      <w:sz w:val="20"/>
                      <w:szCs w:val="20"/>
                      <w:lang w:eastAsia="es-CR"/>
                    </w:rPr>
                    <w:t>- Oficios 10-24 y 48 sobre la directriz que norma el manejo de información electrónica.</w:t>
                  </w:r>
                </w:p>
                <w:p w:rsidR="001E43F5" w:rsidRPr="001E43F5" w:rsidRDefault="001E43F5" w:rsidP="001E43F5">
                  <w:pPr>
                    <w:spacing w:after="0" w:line="240" w:lineRule="auto"/>
                    <w:jc w:val="both"/>
                    <w:rPr>
                      <w:rFonts w:ascii="Arial" w:eastAsia="Times New Roman" w:hAnsi="Arial" w:cs="Arial"/>
                      <w:bCs/>
                      <w:color w:val="000000"/>
                      <w:sz w:val="20"/>
                      <w:szCs w:val="20"/>
                      <w:lang w:eastAsia="es-CR"/>
                    </w:rPr>
                  </w:pPr>
                </w:p>
                <w:p w:rsidR="001E43F5" w:rsidRPr="001E43F5" w:rsidRDefault="001E43F5" w:rsidP="001E43F5">
                  <w:pPr>
                    <w:spacing w:after="0" w:line="240" w:lineRule="auto"/>
                    <w:jc w:val="both"/>
                    <w:rPr>
                      <w:rFonts w:ascii="Arial" w:eastAsia="Times New Roman" w:hAnsi="Arial" w:cs="Arial"/>
                      <w:bCs/>
                      <w:color w:val="000000"/>
                      <w:sz w:val="20"/>
                      <w:szCs w:val="20"/>
                      <w:lang w:eastAsia="es-CR"/>
                    </w:rPr>
                  </w:pPr>
                  <w:r w:rsidRPr="001E43F5">
                    <w:rPr>
                      <w:rFonts w:ascii="Arial" w:eastAsia="Times New Roman" w:hAnsi="Arial" w:cs="Arial"/>
                      <w:bCs/>
                      <w:color w:val="000000"/>
                      <w:sz w:val="20"/>
                      <w:szCs w:val="20"/>
                      <w:lang w:eastAsia="es-CR"/>
                    </w:rPr>
                    <w:t>-Se realizó el trámite para la compra de un archivo móvil para el AGEE.</w:t>
                  </w:r>
                </w:p>
                <w:p w:rsidR="001E43F5" w:rsidRPr="001E43F5" w:rsidRDefault="001E43F5" w:rsidP="001E43F5">
                  <w:pPr>
                    <w:spacing w:after="0" w:line="240" w:lineRule="auto"/>
                    <w:jc w:val="both"/>
                    <w:rPr>
                      <w:rFonts w:ascii="Arial" w:eastAsia="Times New Roman" w:hAnsi="Arial" w:cs="Arial"/>
                      <w:bCs/>
                      <w:color w:val="000000"/>
                      <w:sz w:val="20"/>
                      <w:szCs w:val="20"/>
                      <w:lang w:eastAsia="es-CR"/>
                    </w:rPr>
                  </w:pPr>
                  <w:r w:rsidRPr="001E43F5">
                    <w:rPr>
                      <w:rFonts w:ascii="Arial" w:eastAsia="Times New Roman" w:hAnsi="Arial" w:cs="Arial"/>
                      <w:bCs/>
                      <w:color w:val="000000"/>
                      <w:sz w:val="20"/>
                      <w:szCs w:val="20"/>
                      <w:lang w:eastAsia="es-CR"/>
                    </w:rPr>
                    <w:t xml:space="preserve">- Se continúa con la inclusión de información en el listado digital (Excel) del AGEE, para agilizar el proceso de búsqueda de los mismos. A la fecha se han registrado en la base de datos 9.049 expedientes. </w:t>
                  </w:r>
                </w:p>
                <w:p w:rsidR="001E43F5" w:rsidRPr="001E43F5" w:rsidRDefault="001E43F5" w:rsidP="001E43F5">
                  <w:pPr>
                    <w:spacing w:after="0" w:line="240" w:lineRule="auto"/>
                    <w:jc w:val="both"/>
                    <w:rPr>
                      <w:rFonts w:ascii="Arial" w:eastAsia="Times New Roman" w:hAnsi="Arial" w:cs="Arial"/>
                      <w:bCs/>
                      <w:color w:val="000000"/>
                      <w:sz w:val="20"/>
                      <w:szCs w:val="20"/>
                      <w:lang w:eastAsia="es-CR"/>
                    </w:rPr>
                  </w:pPr>
                  <w:r w:rsidRPr="001E43F5">
                    <w:rPr>
                      <w:rFonts w:ascii="Arial" w:eastAsia="Times New Roman" w:hAnsi="Arial" w:cs="Arial"/>
                      <w:bCs/>
                      <w:color w:val="000000"/>
                      <w:sz w:val="20"/>
                      <w:szCs w:val="20"/>
                      <w:lang w:eastAsia="es-CR"/>
                    </w:rPr>
                    <w:t>- Se realizó el proceso de transferencia documental de la Unidad de Tesorería y de la Gerencia General (en dos ocasiones).</w:t>
                  </w:r>
                </w:p>
                <w:p w:rsidR="001E43F5" w:rsidRPr="001E43F5" w:rsidRDefault="001E43F5" w:rsidP="001E43F5">
                  <w:pPr>
                    <w:spacing w:after="0" w:line="240" w:lineRule="auto"/>
                    <w:jc w:val="both"/>
                    <w:rPr>
                      <w:rFonts w:ascii="Arial" w:eastAsia="Times New Roman" w:hAnsi="Arial" w:cs="Arial"/>
                      <w:bCs/>
                      <w:color w:val="000000"/>
                      <w:sz w:val="20"/>
                      <w:szCs w:val="20"/>
                      <w:lang w:eastAsia="es-CR"/>
                    </w:rPr>
                  </w:pPr>
                  <w:r w:rsidRPr="001E43F5">
                    <w:rPr>
                      <w:rFonts w:ascii="Arial" w:eastAsia="Times New Roman" w:hAnsi="Arial" w:cs="Arial"/>
                      <w:bCs/>
                      <w:color w:val="000000"/>
                      <w:sz w:val="20"/>
                      <w:szCs w:val="20"/>
                      <w:lang w:eastAsia="es-CR"/>
                    </w:rPr>
                    <w:t>- Se trasladaron expedientes controlados en el AGEE por mejoras en la construcción de la entrada al edificio así como la futura instalación del archivo móvil.</w:t>
                  </w:r>
                </w:p>
                <w:p w:rsidR="001E43F5" w:rsidRPr="001E43F5" w:rsidRDefault="001E43F5" w:rsidP="001E43F5">
                  <w:pPr>
                    <w:spacing w:after="0" w:line="240" w:lineRule="auto"/>
                    <w:jc w:val="both"/>
                    <w:rPr>
                      <w:rFonts w:ascii="Arial" w:eastAsia="Times New Roman" w:hAnsi="Arial" w:cs="Arial"/>
                      <w:bCs/>
                      <w:color w:val="000000"/>
                      <w:sz w:val="20"/>
                      <w:szCs w:val="20"/>
                      <w:lang w:eastAsia="es-CR"/>
                    </w:rPr>
                  </w:pPr>
                  <w:r w:rsidRPr="001E43F5">
                    <w:rPr>
                      <w:rFonts w:ascii="Arial" w:eastAsia="Times New Roman" w:hAnsi="Arial" w:cs="Arial"/>
                      <w:bCs/>
                      <w:color w:val="000000"/>
                      <w:sz w:val="20"/>
                      <w:szCs w:val="20"/>
                      <w:lang w:eastAsia="es-CR"/>
                    </w:rPr>
                    <w:t>- Se atendieron de consultas (verbales, por correo y oficio) de clientes (internos y externos) así como de préstamo de expedientes y documentación del Archivo Central.</w:t>
                  </w:r>
                </w:p>
                <w:p w:rsidR="001E43F5" w:rsidRPr="001E43F5" w:rsidRDefault="001E43F5" w:rsidP="001E43F5">
                  <w:pPr>
                    <w:spacing w:after="0" w:line="240" w:lineRule="auto"/>
                    <w:jc w:val="both"/>
                    <w:rPr>
                      <w:rFonts w:ascii="Arial" w:eastAsia="Times New Roman" w:hAnsi="Arial" w:cs="Arial"/>
                      <w:bCs/>
                      <w:color w:val="000000"/>
                      <w:sz w:val="20"/>
                      <w:szCs w:val="20"/>
                      <w:lang w:eastAsia="es-CR"/>
                    </w:rPr>
                  </w:pPr>
                </w:p>
              </w:tc>
            </w:tr>
            <w:tr w:rsidR="001E43F5" w:rsidRPr="001E43F5" w:rsidTr="00746DC0">
              <w:trPr>
                <w:trHeight w:val="705"/>
              </w:trPr>
              <w:tc>
                <w:tcPr>
                  <w:tcW w:w="2358" w:type="pct"/>
                  <w:shd w:val="clear" w:color="auto" w:fill="auto"/>
                  <w:hideMark/>
                </w:tcPr>
                <w:p w:rsidR="001E43F5" w:rsidRPr="001E43F5" w:rsidRDefault="001E43F5" w:rsidP="001E43F5">
                  <w:pPr>
                    <w:spacing w:after="0" w:line="240" w:lineRule="auto"/>
                    <w:jc w:val="both"/>
                    <w:rPr>
                      <w:rFonts w:ascii="Arial" w:eastAsia="Times New Roman" w:hAnsi="Arial" w:cs="Arial"/>
                      <w:bCs/>
                      <w:color w:val="000000"/>
                      <w:sz w:val="20"/>
                      <w:szCs w:val="20"/>
                      <w:lang w:eastAsia="es-CR"/>
                    </w:rPr>
                  </w:pPr>
                  <w:r w:rsidRPr="001E43F5">
                    <w:rPr>
                      <w:rFonts w:ascii="Arial" w:eastAsia="Times New Roman" w:hAnsi="Arial" w:cs="Arial"/>
                      <w:bCs/>
                      <w:color w:val="000000"/>
                      <w:sz w:val="20"/>
                      <w:szCs w:val="20"/>
                      <w:lang w:eastAsia="es-CR"/>
                    </w:rPr>
                    <w:t xml:space="preserve">b) Limitaciones: </w:t>
                  </w:r>
                </w:p>
                <w:p w:rsidR="001E43F5" w:rsidRPr="001E43F5" w:rsidRDefault="001E43F5" w:rsidP="001E43F5">
                  <w:pPr>
                    <w:spacing w:after="0" w:line="240" w:lineRule="auto"/>
                    <w:jc w:val="both"/>
                    <w:rPr>
                      <w:rFonts w:ascii="Arial" w:eastAsia="Times New Roman" w:hAnsi="Arial" w:cs="Arial"/>
                      <w:bCs/>
                      <w:color w:val="000000"/>
                      <w:sz w:val="20"/>
                      <w:szCs w:val="20"/>
                      <w:lang w:eastAsia="es-CR"/>
                    </w:rPr>
                  </w:pPr>
                </w:p>
                <w:p w:rsidR="001E43F5" w:rsidRPr="001E43F5" w:rsidRDefault="001E43F5" w:rsidP="001E43F5">
                  <w:pPr>
                    <w:spacing w:after="0" w:line="240" w:lineRule="auto"/>
                    <w:jc w:val="both"/>
                    <w:rPr>
                      <w:rFonts w:ascii="Arial" w:eastAsia="Times New Roman" w:hAnsi="Arial" w:cs="Arial"/>
                      <w:bCs/>
                      <w:color w:val="000000"/>
                      <w:sz w:val="20"/>
                      <w:szCs w:val="20"/>
                      <w:lang w:eastAsia="es-CR"/>
                    </w:rPr>
                  </w:pPr>
                </w:p>
              </w:tc>
              <w:tc>
                <w:tcPr>
                  <w:tcW w:w="2642" w:type="pct"/>
                  <w:shd w:val="clear" w:color="auto" w:fill="auto"/>
                </w:tcPr>
                <w:p w:rsidR="001E43F5" w:rsidRPr="001E43F5" w:rsidRDefault="001E43F5" w:rsidP="001E43F5">
                  <w:pPr>
                    <w:spacing w:after="0" w:line="240" w:lineRule="auto"/>
                    <w:jc w:val="both"/>
                    <w:rPr>
                      <w:rFonts w:ascii="Arial" w:eastAsia="Times New Roman" w:hAnsi="Arial" w:cs="Arial"/>
                      <w:bCs/>
                      <w:color w:val="000000"/>
                      <w:sz w:val="20"/>
                      <w:szCs w:val="20"/>
                      <w:lang w:eastAsia="es-CR"/>
                    </w:rPr>
                  </w:pPr>
                  <w:r w:rsidRPr="001E43F5">
                    <w:rPr>
                      <w:rFonts w:ascii="Arial" w:eastAsia="Times New Roman" w:hAnsi="Arial" w:cs="Arial"/>
                      <w:bCs/>
                      <w:color w:val="000000"/>
                      <w:sz w:val="20"/>
                      <w:szCs w:val="20"/>
                      <w:lang w:eastAsia="es-CR"/>
                    </w:rPr>
                    <w:t>- Recargo de la atención del Archivo de Gestión Especializado de Expedientes (AGEE).</w:t>
                  </w:r>
                </w:p>
                <w:p w:rsidR="001E43F5" w:rsidRPr="001E43F5" w:rsidRDefault="001E43F5" w:rsidP="001E43F5">
                  <w:pPr>
                    <w:spacing w:after="0" w:line="240" w:lineRule="auto"/>
                    <w:jc w:val="both"/>
                    <w:rPr>
                      <w:rFonts w:ascii="Arial" w:eastAsia="Times New Roman" w:hAnsi="Arial" w:cs="Arial"/>
                      <w:bCs/>
                      <w:color w:val="000000"/>
                      <w:sz w:val="20"/>
                      <w:szCs w:val="20"/>
                      <w:lang w:eastAsia="es-CR"/>
                    </w:rPr>
                  </w:pPr>
                  <w:r w:rsidRPr="001E43F5">
                    <w:rPr>
                      <w:rFonts w:ascii="Arial" w:eastAsia="Times New Roman" w:hAnsi="Arial" w:cs="Arial"/>
                      <w:bCs/>
                      <w:color w:val="000000"/>
                      <w:sz w:val="20"/>
                      <w:szCs w:val="20"/>
                      <w:lang w:eastAsia="es-CR"/>
                    </w:rPr>
                    <w:t>- La infraestructura inadecuada para la consulta de documentos y los equipos informáticos no adecuados.</w:t>
                  </w:r>
                </w:p>
                <w:p w:rsidR="001E43F5" w:rsidRPr="001E43F5" w:rsidRDefault="001E43F5" w:rsidP="001E43F5">
                  <w:pPr>
                    <w:spacing w:after="0" w:line="240" w:lineRule="auto"/>
                    <w:jc w:val="both"/>
                    <w:rPr>
                      <w:rFonts w:ascii="Arial" w:eastAsia="Times New Roman" w:hAnsi="Arial" w:cs="Arial"/>
                      <w:bCs/>
                      <w:color w:val="000000"/>
                      <w:sz w:val="20"/>
                      <w:szCs w:val="20"/>
                      <w:lang w:eastAsia="es-CR"/>
                    </w:rPr>
                  </w:pPr>
                  <w:r w:rsidRPr="001E43F5">
                    <w:rPr>
                      <w:rFonts w:ascii="Arial" w:eastAsia="Times New Roman" w:hAnsi="Arial" w:cs="Arial"/>
                      <w:bCs/>
                      <w:color w:val="000000"/>
                      <w:sz w:val="20"/>
                      <w:szCs w:val="20"/>
                      <w:lang w:eastAsia="es-CR"/>
                    </w:rPr>
                    <w:t>- Falta de personal para atender el Archivo Central (AC).</w:t>
                  </w:r>
                </w:p>
                <w:p w:rsidR="001E43F5" w:rsidRPr="001E43F5" w:rsidRDefault="001E43F5" w:rsidP="001E43F5">
                  <w:pPr>
                    <w:spacing w:after="0" w:line="240" w:lineRule="auto"/>
                    <w:jc w:val="both"/>
                    <w:rPr>
                      <w:rFonts w:ascii="Arial" w:eastAsia="Times New Roman" w:hAnsi="Arial" w:cs="Arial"/>
                      <w:bCs/>
                      <w:color w:val="000000"/>
                      <w:sz w:val="20"/>
                      <w:szCs w:val="20"/>
                      <w:lang w:eastAsia="es-CR"/>
                    </w:rPr>
                  </w:pPr>
                  <w:r w:rsidRPr="001E43F5">
                    <w:rPr>
                      <w:rFonts w:ascii="Arial" w:eastAsia="Times New Roman" w:hAnsi="Arial" w:cs="Arial"/>
                      <w:bCs/>
                      <w:color w:val="000000"/>
                      <w:sz w:val="20"/>
                      <w:szCs w:val="20"/>
                      <w:lang w:eastAsia="es-CR"/>
                    </w:rPr>
                    <w:t>- El tiempo del personal se vio reducido por las mejoras del edificio, limitando el avance en la organización del AGEE y los trámites propios del AC.</w:t>
                  </w:r>
                </w:p>
              </w:tc>
            </w:tr>
            <w:tr w:rsidR="001E43F5" w:rsidRPr="001E43F5" w:rsidTr="00746DC0">
              <w:trPr>
                <w:trHeight w:val="755"/>
              </w:trPr>
              <w:tc>
                <w:tcPr>
                  <w:tcW w:w="2358" w:type="pct"/>
                  <w:shd w:val="clear" w:color="auto" w:fill="auto"/>
                  <w:hideMark/>
                </w:tcPr>
                <w:p w:rsidR="001E43F5" w:rsidRPr="001E43F5" w:rsidRDefault="001E43F5" w:rsidP="001E43F5">
                  <w:pPr>
                    <w:spacing w:after="0" w:line="240" w:lineRule="auto"/>
                    <w:jc w:val="both"/>
                    <w:rPr>
                      <w:rFonts w:ascii="Arial" w:eastAsia="Times New Roman" w:hAnsi="Arial" w:cs="Arial"/>
                      <w:bCs/>
                      <w:color w:val="000000"/>
                      <w:sz w:val="20"/>
                      <w:szCs w:val="20"/>
                      <w:lang w:eastAsia="es-CR"/>
                    </w:rPr>
                  </w:pPr>
                  <w:r w:rsidRPr="001E43F5">
                    <w:rPr>
                      <w:rFonts w:ascii="Arial" w:eastAsia="Times New Roman" w:hAnsi="Arial" w:cs="Arial"/>
                      <w:bCs/>
                      <w:color w:val="000000"/>
                      <w:sz w:val="20"/>
                      <w:szCs w:val="20"/>
                      <w:lang w:eastAsia="es-CR"/>
                    </w:rPr>
                    <w:t>c) Medidas correctivas o acciones de mejora (realizadas y por realizar) para el logro de la meta:</w:t>
                  </w:r>
                </w:p>
                <w:p w:rsidR="001E43F5" w:rsidRPr="001E43F5" w:rsidRDefault="001E43F5" w:rsidP="001E43F5">
                  <w:pPr>
                    <w:spacing w:after="0" w:line="240" w:lineRule="auto"/>
                    <w:jc w:val="both"/>
                    <w:rPr>
                      <w:rFonts w:ascii="Arial" w:eastAsia="Times New Roman" w:hAnsi="Arial" w:cs="Arial"/>
                      <w:bCs/>
                      <w:color w:val="000000"/>
                      <w:sz w:val="20"/>
                      <w:szCs w:val="20"/>
                      <w:lang w:eastAsia="es-CR"/>
                    </w:rPr>
                  </w:pPr>
                </w:p>
              </w:tc>
              <w:tc>
                <w:tcPr>
                  <w:tcW w:w="2642" w:type="pct"/>
                  <w:shd w:val="clear" w:color="auto" w:fill="auto"/>
                </w:tcPr>
                <w:p w:rsidR="001E43F5" w:rsidRPr="001E43F5" w:rsidRDefault="001E43F5" w:rsidP="001E43F5">
                  <w:pPr>
                    <w:spacing w:after="0" w:line="240" w:lineRule="auto"/>
                    <w:jc w:val="both"/>
                    <w:rPr>
                      <w:rFonts w:ascii="Arial" w:eastAsia="Times New Roman" w:hAnsi="Arial" w:cs="Arial"/>
                      <w:bCs/>
                      <w:color w:val="000000"/>
                      <w:sz w:val="20"/>
                      <w:szCs w:val="20"/>
                      <w:lang w:eastAsia="es-CR"/>
                    </w:rPr>
                  </w:pPr>
                  <w:r w:rsidRPr="001E43F5">
                    <w:rPr>
                      <w:rFonts w:ascii="Arial" w:eastAsia="Times New Roman" w:hAnsi="Arial" w:cs="Arial"/>
                      <w:bCs/>
                      <w:color w:val="000000"/>
                      <w:sz w:val="20"/>
                      <w:szCs w:val="20"/>
                      <w:lang w:eastAsia="es-CR"/>
                    </w:rPr>
                    <w:t>- Información a los usuarios internos sobre la normativa vigente de archivística.</w:t>
                  </w:r>
                </w:p>
                <w:p w:rsidR="001E43F5" w:rsidRPr="001E43F5" w:rsidRDefault="001E43F5" w:rsidP="001E43F5">
                  <w:pPr>
                    <w:spacing w:after="0" w:line="240" w:lineRule="auto"/>
                    <w:jc w:val="both"/>
                    <w:rPr>
                      <w:rFonts w:ascii="Arial" w:eastAsia="Times New Roman" w:hAnsi="Arial" w:cs="Arial"/>
                      <w:bCs/>
                      <w:color w:val="000000"/>
                      <w:sz w:val="20"/>
                      <w:szCs w:val="20"/>
                      <w:lang w:eastAsia="es-CR"/>
                    </w:rPr>
                  </w:pPr>
                  <w:r w:rsidRPr="001E43F5">
                    <w:rPr>
                      <w:rFonts w:ascii="Arial" w:eastAsia="Times New Roman" w:hAnsi="Arial" w:cs="Arial"/>
                      <w:bCs/>
                      <w:color w:val="000000"/>
                      <w:sz w:val="20"/>
                      <w:szCs w:val="20"/>
                      <w:lang w:eastAsia="es-CR"/>
                    </w:rPr>
                    <w:t>- Elaboración de un listado digital (en programa Excel) de la documentación, con el objetivo de agilizar el proceso de búsqueda de información.</w:t>
                  </w:r>
                </w:p>
                <w:p w:rsidR="001E43F5" w:rsidRPr="001E43F5" w:rsidRDefault="001E43F5" w:rsidP="001E43F5">
                  <w:pPr>
                    <w:spacing w:after="0" w:line="240" w:lineRule="auto"/>
                    <w:jc w:val="both"/>
                    <w:rPr>
                      <w:rFonts w:ascii="Arial" w:eastAsia="Times New Roman" w:hAnsi="Arial" w:cs="Arial"/>
                      <w:bCs/>
                      <w:color w:val="000000"/>
                      <w:sz w:val="20"/>
                      <w:szCs w:val="20"/>
                      <w:lang w:eastAsia="es-CR"/>
                    </w:rPr>
                  </w:pPr>
                  <w:r w:rsidRPr="001E43F5">
                    <w:rPr>
                      <w:rFonts w:ascii="Arial" w:eastAsia="Times New Roman" w:hAnsi="Arial" w:cs="Arial"/>
                      <w:bCs/>
                      <w:color w:val="000000"/>
                      <w:sz w:val="20"/>
                      <w:szCs w:val="20"/>
                      <w:lang w:eastAsia="es-CR"/>
                    </w:rPr>
                    <w:t>-Recordatorio sobre la necesidad de la TPCD.</w:t>
                  </w:r>
                </w:p>
                <w:p w:rsidR="001E43F5" w:rsidRPr="001E43F5" w:rsidRDefault="001E43F5" w:rsidP="001E43F5">
                  <w:pPr>
                    <w:spacing w:after="0" w:line="240" w:lineRule="auto"/>
                    <w:jc w:val="both"/>
                    <w:rPr>
                      <w:rFonts w:ascii="Arial" w:eastAsia="Times New Roman" w:hAnsi="Arial" w:cs="Arial"/>
                      <w:bCs/>
                      <w:color w:val="000000"/>
                      <w:sz w:val="20"/>
                      <w:szCs w:val="20"/>
                      <w:lang w:eastAsia="es-CR"/>
                    </w:rPr>
                  </w:pPr>
                </w:p>
              </w:tc>
            </w:tr>
            <w:tr w:rsidR="001E43F5" w:rsidRPr="001E43F5" w:rsidTr="00746DC0">
              <w:trPr>
                <w:trHeight w:val="825"/>
              </w:trPr>
              <w:tc>
                <w:tcPr>
                  <w:tcW w:w="2358" w:type="pct"/>
                  <w:shd w:val="clear" w:color="auto" w:fill="auto"/>
                  <w:hideMark/>
                </w:tcPr>
                <w:p w:rsidR="001E43F5" w:rsidRPr="001E43F5" w:rsidRDefault="001E43F5" w:rsidP="001E43F5">
                  <w:pPr>
                    <w:spacing w:after="0" w:line="240" w:lineRule="auto"/>
                    <w:jc w:val="both"/>
                    <w:rPr>
                      <w:rFonts w:ascii="Arial" w:eastAsia="Times New Roman" w:hAnsi="Arial" w:cs="Arial"/>
                      <w:bCs/>
                      <w:color w:val="000000"/>
                      <w:sz w:val="20"/>
                      <w:szCs w:val="20"/>
                      <w:lang w:eastAsia="es-CR"/>
                    </w:rPr>
                  </w:pPr>
                  <w:r w:rsidRPr="001E43F5">
                    <w:rPr>
                      <w:rFonts w:ascii="Arial" w:eastAsia="Times New Roman" w:hAnsi="Arial" w:cs="Arial"/>
                      <w:bCs/>
                      <w:color w:val="000000"/>
                      <w:sz w:val="20"/>
                      <w:szCs w:val="20"/>
                      <w:lang w:eastAsia="es-CR"/>
                    </w:rPr>
                    <w:t>Observaciones:</w:t>
                  </w:r>
                </w:p>
              </w:tc>
              <w:tc>
                <w:tcPr>
                  <w:tcW w:w="2642" w:type="pct"/>
                  <w:shd w:val="clear" w:color="auto" w:fill="auto"/>
                </w:tcPr>
                <w:p w:rsidR="001E43F5" w:rsidRPr="001E43F5" w:rsidRDefault="001E43F5" w:rsidP="001E43F5">
                  <w:pPr>
                    <w:spacing w:after="0" w:line="240" w:lineRule="auto"/>
                    <w:jc w:val="both"/>
                    <w:rPr>
                      <w:rFonts w:ascii="Arial" w:eastAsia="Times New Roman" w:hAnsi="Arial" w:cs="Arial"/>
                      <w:bCs/>
                      <w:color w:val="000000"/>
                      <w:sz w:val="20"/>
                      <w:szCs w:val="20"/>
                      <w:lang w:eastAsia="es-CR"/>
                    </w:rPr>
                  </w:pPr>
                  <w:r w:rsidRPr="001E43F5">
                    <w:rPr>
                      <w:rFonts w:ascii="Arial" w:eastAsia="Times New Roman" w:hAnsi="Arial" w:cs="Arial"/>
                      <w:bCs/>
                      <w:color w:val="000000"/>
                      <w:sz w:val="20"/>
                      <w:szCs w:val="20"/>
                      <w:lang w:eastAsia="es-CR"/>
                    </w:rPr>
                    <w:t>El Comité Institucional de Selección y Eliminación Documental (CISED), fue creado por la Gerencia General, mediante oficio GG-1385-2016.</w:t>
                  </w:r>
                </w:p>
                <w:p w:rsidR="001E43F5" w:rsidRPr="001E43F5" w:rsidRDefault="001E43F5" w:rsidP="001E43F5">
                  <w:pPr>
                    <w:spacing w:after="0" w:line="240" w:lineRule="auto"/>
                    <w:jc w:val="both"/>
                    <w:rPr>
                      <w:rFonts w:ascii="Arial" w:eastAsia="Times New Roman" w:hAnsi="Arial" w:cs="Arial"/>
                      <w:bCs/>
                      <w:color w:val="000000"/>
                      <w:sz w:val="20"/>
                      <w:szCs w:val="20"/>
                      <w:lang w:eastAsia="es-CR"/>
                    </w:rPr>
                  </w:pPr>
                </w:p>
                <w:p w:rsidR="001E43F5" w:rsidRPr="001E43F5" w:rsidRDefault="001E43F5" w:rsidP="001E43F5">
                  <w:pPr>
                    <w:spacing w:after="0" w:line="240" w:lineRule="auto"/>
                    <w:jc w:val="both"/>
                    <w:rPr>
                      <w:rFonts w:ascii="Arial" w:eastAsia="Times New Roman" w:hAnsi="Arial" w:cs="Arial"/>
                      <w:bCs/>
                      <w:color w:val="000000"/>
                      <w:sz w:val="20"/>
                      <w:szCs w:val="20"/>
                      <w:lang w:eastAsia="es-CR"/>
                    </w:rPr>
                  </w:pPr>
                </w:p>
              </w:tc>
            </w:tr>
          </w:tbl>
          <w:p w:rsidR="001E43F5" w:rsidRPr="001E43F5" w:rsidRDefault="001E43F5" w:rsidP="001E43F5">
            <w:pPr>
              <w:spacing w:after="0" w:line="240" w:lineRule="auto"/>
              <w:jc w:val="both"/>
              <w:rPr>
                <w:rFonts w:ascii="Arial" w:eastAsia="Times New Roman" w:hAnsi="Arial" w:cs="Arial"/>
                <w:bCs/>
                <w:color w:val="000000"/>
                <w:sz w:val="20"/>
                <w:szCs w:val="20"/>
                <w:lang w:eastAsia="es-CR"/>
              </w:rPr>
            </w:pPr>
          </w:p>
          <w:p w:rsidR="001E43F5" w:rsidRPr="00253E06" w:rsidRDefault="001E43F5" w:rsidP="001E43F5">
            <w:pPr>
              <w:spacing w:after="0" w:line="240" w:lineRule="auto"/>
              <w:jc w:val="both"/>
              <w:rPr>
                <w:rFonts w:ascii="Arial" w:eastAsia="Times New Roman" w:hAnsi="Arial" w:cs="Arial"/>
                <w:bCs/>
                <w:color w:val="000000"/>
                <w:sz w:val="18"/>
                <w:szCs w:val="18"/>
                <w:lang w:eastAsia="es-CR"/>
              </w:rPr>
            </w:pPr>
            <w:r w:rsidRPr="00253E06">
              <w:rPr>
                <w:rFonts w:ascii="Arial" w:eastAsia="Times New Roman" w:hAnsi="Arial" w:cs="Arial"/>
                <w:bCs/>
                <w:color w:val="000000"/>
                <w:sz w:val="18"/>
                <w:szCs w:val="18"/>
                <w:lang w:eastAsia="es-CR"/>
              </w:rPr>
              <w:t>Nota Fuente: Informe de rendimiento de cuentas de área. (2017)</w:t>
            </w:r>
          </w:p>
          <w:p w:rsidR="001E43F5" w:rsidRPr="001E43F5" w:rsidRDefault="001E43F5" w:rsidP="001E43F5">
            <w:pPr>
              <w:spacing w:after="0" w:line="240" w:lineRule="auto"/>
              <w:jc w:val="both"/>
              <w:rPr>
                <w:rFonts w:ascii="Arial" w:eastAsia="Times New Roman" w:hAnsi="Arial" w:cs="Arial"/>
                <w:bCs/>
                <w:color w:val="000000"/>
                <w:sz w:val="20"/>
                <w:szCs w:val="20"/>
                <w:lang w:eastAsia="es-CR"/>
              </w:rPr>
            </w:pPr>
          </w:p>
        </w:tc>
      </w:tr>
    </w:tbl>
    <w:p w:rsidR="009E561D" w:rsidRDefault="00DA62C0" w:rsidP="000665F1">
      <w:pPr>
        <w:pStyle w:val="Ttulo1"/>
        <w:keepLines w:val="0"/>
        <w:numPr>
          <w:ilvl w:val="0"/>
          <w:numId w:val="1"/>
        </w:numPr>
        <w:spacing w:after="60" w:line="240" w:lineRule="auto"/>
        <w:jc w:val="both"/>
        <w:rPr>
          <w:rFonts w:ascii="Arial" w:eastAsia="Times New Roman" w:hAnsi="Arial" w:cs="Arial"/>
          <w:b/>
          <w:bCs/>
          <w:color w:val="auto"/>
          <w:kern w:val="32"/>
          <w:sz w:val="20"/>
          <w:szCs w:val="20"/>
          <w:lang w:eastAsia="es-ES"/>
        </w:rPr>
      </w:pPr>
      <w:r>
        <w:rPr>
          <w:rFonts w:ascii="Arial" w:eastAsia="Times New Roman" w:hAnsi="Arial" w:cs="Arial"/>
          <w:sz w:val="20"/>
          <w:szCs w:val="20"/>
          <w:lang w:val="es-ES" w:eastAsia="es-ES"/>
        </w:rPr>
        <w:br w:type="page"/>
      </w:r>
      <w:bookmarkStart w:id="7" w:name="_Toc482965760"/>
      <w:r w:rsidR="009E561D" w:rsidRPr="009E561D">
        <w:rPr>
          <w:rFonts w:ascii="Arial" w:eastAsia="Times New Roman" w:hAnsi="Arial" w:cs="Arial"/>
          <w:b/>
          <w:bCs/>
          <w:color w:val="auto"/>
          <w:kern w:val="32"/>
          <w:sz w:val="20"/>
          <w:szCs w:val="20"/>
          <w:lang w:eastAsia="es-ES"/>
        </w:rPr>
        <w:lastRenderedPageBreak/>
        <w:t>PROGRAMA PRESUPUESTARIO N°2 URBANISMO</w:t>
      </w:r>
      <w:bookmarkStart w:id="8" w:name="_Toc426100806"/>
      <w:bookmarkStart w:id="9" w:name="_Toc482965761"/>
      <w:bookmarkEnd w:id="7"/>
    </w:p>
    <w:p w:rsidR="009E561D" w:rsidRPr="00916ECF" w:rsidRDefault="009E561D" w:rsidP="000665F1">
      <w:pPr>
        <w:pStyle w:val="Ttulo1"/>
        <w:keepLines w:val="0"/>
        <w:numPr>
          <w:ilvl w:val="0"/>
          <w:numId w:val="4"/>
        </w:numPr>
        <w:spacing w:after="60" w:line="240" w:lineRule="auto"/>
        <w:jc w:val="both"/>
        <w:rPr>
          <w:rFonts w:ascii="Arial" w:eastAsia="Times New Roman" w:hAnsi="Arial" w:cs="Arial"/>
          <w:b/>
          <w:bCs/>
          <w:color w:val="auto"/>
          <w:kern w:val="32"/>
          <w:sz w:val="20"/>
          <w:szCs w:val="20"/>
          <w:lang w:eastAsia="es-ES"/>
        </w:rPr>
      </w:pPr>
      <w:r w:rsidRPr="00916ECF">
        <w:rPr>
          <w:rFonts w:ascii="Arial" w:eastAsia="Times New Roman" w:hAnsi="Arial" w:cs="Times New Roman"/>
          <w:b/>
          <w:color w:val="auto"/>
          <w:sz w:val="20"/>
          <w:szCs w:val="20"/>
          <w:lang w:eastAsia="es-ES"/>
        </w:rPr>
        <w:t>Breve descripción</w:t>
      </w:r>
      <w:bookmarkEnd w:id="8"/>
      <w:bookmarkEnd w:id="9"/>
    </w:p>
    <w:p w:rsidR="009E561D" w:rsidRPr="005D5E66" w:rsidRDefault="009E561D" w:rsidP="009E561D"/>
    <w:p w:rsidR="009E561D" w:rsidRPr="009E561D" w:rsidRDefault="009E561D" w:rsidP="009E561D">
      <w:pPr>
        <w:spacing w:after="0" w:line="240" w:lineRule="auto"/>
        <w:ind w:left="360"/>
        <w:jc w:val="both"/>
        <w:rPr>
          <w:rFonts w:ascii="Arial" w:eastAsia="Times New Roman" w:hAnsi="Arial" w:cs="Arial"/>
          <w:sz w:val="20"/>
          <w:szCs w:val="20"/>
          <w:lang w:eastAsia="es-ES"/>
        </w:rPr>
      </w:pPr>
      <w:r w:rsidRPr="009E561D">
        <w:rPr>
          <w:rFonts w:ascii="Arial" w:eastAsia="Times New Roman" w:hAnsi="Arial" w:cs="Arial"/>
          <w:sz w:val="20"/>
          <w:szCs w:val="20"/>
          <w:lang w:eastAsia="es-ES"/>
        </w:rPr>
        <w:t xml:space="preserve">Este programa tiene como finalidad planificar, coordinar,  ejecutar y controlar todas las acciones necesarias para asesorar en la elaboración de planes reguladores, tanto en el ámbito local como regional y nacional, además de brindar asistencia técnica a los municipios y organismos públicos y privados dedicados al planeamiento urbano y la revisión de planos de conformidad con lo estipulado en la  Ley No. 4240, Ley de Planificación Urbana. </w:t>
      </w:r>
    </w:p>
    <w:p w:rsidR="009E561D" w:rsidRPr="009E561D" w:rsidRDefault="009E561D" w:rsidP="009E561D">
      <w:pPr>
        <w:spacing w:after="0" w:line="240" w:lineRule="auto"/>
        <w:ind w:left="360"/>
        <w:jc w:val="both"/>
        <w:rPr>
          <w:rFonts w:ascii="Arial" w:eastAsia="Times New Roman" w:hAnsi="Arial" w:cs="Arial"/>
          <w:sz w:val="20"/>
          <w:szCs w:val="20"/>
          <w:lang w:eastAsia="es-ES"/>
        </w:rPr>
      </w:pPr>
    </w:p>
    <w:p w:rsidR="009E561D" w:rsidRPr="009E561D" w:rsidRDefault="009E561D" w:rsidP="009E561D">
      <w:pPr>
        <w:spacing w:after="0" w:line="240" w:lineRule="auto"/>
        <w:ind w:left="360"/>
        <w:jc w:val="both"/>
        <w:rPr>
          <w:rFonts w:ascii="Arial" w:eastAsia="Times New Roman" w:hAnsi="Arial" w:cs="Arial"/>
          <w:sz w:val="20"/>
          <w:szCs w:val="20"/>
          <w:lang w:eastAsia="es-ES"/>
        </w:rPr>
      </w:pPr>
      <w:r w:rsidRPr="009E561D">
        <w:rPr>
          <w:rFonts w:ascii="Arial" w:eastAsia="Times New Roman" w:hAnsi="Arial" w:cs="Arial"/>
          <w:sz w:val="20"/>
          <w:szCs w:val="20"/>
          <w:lang w:eastAsia="es-ES"/>
        </w:rPr>
        <w:t>Según la Ley 4240 Ley de Planificación Urbana, mediante la Dirección de Urbanismo  debe:</w:t>
      </w:r>
    </w:p>
    <w:p w:rsidR="009E561D" w:rsidRPr="009E561D" w:rsidRDefault="009E561D" w:rsidP="009E561D">
      <w:pPr>
        <w:spacing w:after="0" w:line="240" w:lineRule="auto"/>
        <w:ind w:left="360"/>
        <w:jc w:val="both"/>
        <w:rPr>
          <w:rFonts w:ascii="Arial" w:eastAsia="Times New Roman" w:hAnsi="Arial" w:cs="Arial"/>
          <w:sz w:val="20"/>
          <w:szCs w:val="20"/>
          <w:lang w:eastAsia="es-ES"/>
        </w:rPr>
      </w:pPr>
    </w:p>
    <w:p w:rsidR="009E561D" w:rsidRPr="009E561D" w:rsidRDefault="009E561D" w:rsidP="009E561D">
      <w:pPr>
        <w:spacing w:after="0" w:line="240" w:lineRule="auto"/>
        <w:ind w:left="360"/>
        <w:jc w:val="both"/>
        <w:rPr>
          <w:rFonts w:ascii="Arial" w:eastAsia="Times New Roman" w:hAnsi="Arial" w:cs="Arial"/>
          <w:sz w:val="20"/>
          <w:szCs w:val="20"/>
          <w:lang w:eastAsia="es-ES"/>
        </w:rPr>
      </w:pPr>
      <w:r w:rsidRPr="009E561D">
        <w:rPr>
          <w:rFonts w:ascii="Arial" w:eastAsia="Times New Roman" w:hAnsi="Arial" w:cs="Arial"/>
          <w:sz w:val="20"/>
          <w:szCs w:val="20"/>
          <w:lang w:eastAsia="es-ES"/>
        </w:rPr>
        <w:t>Elaborar el Plan Nacional de Desarrollo Urbano, revisarlo para mantenerlo al día e informar sobre su estado y aplicación.</w:t>
      </w:r>
    </w:p>
    <w:p w:rsidR="009E561D" w:rsidRPr="009E561D" w:rsidRDefault="009E561D" w:rsidP="009E561D">
      <w:pPr>
        <w:spacing w:after="0" w:line="240" w:lineRule="auto"/>
        <w:ind w:left="360"/>
        <w:jc w:val="both"/>
        <w:rPr>
          <w:rFonts w:ascii="Arial" w:eastAsia="Times New Roman" w:hAnsi="Arial" w:cs="Arial"/>
          <w:sz w:val="20"/>
          <w:szCs w:val="20"/>
          <w:lang w:eastAsia="es-ES"/>
        </w:rPr>
      </w:pPr>
    </w:p>
    <w:p w:rsidR="009E561D" w:rsidRPr="009E561D" w:rsidRDefault="009E561D" w:rsidP="009E561D">
      <w:pPr>
        <w:spacing w:after="0" w:line="240" w:lineRule="auto"/>
        <w:ind w:left="360"/>
        <w:jc w:val="both"/>
        <w:rPr>
          <w:rFonts w:ascii="Arial" w:eastAsia="Times New Roman" w:hAnsi="Arial" w:cs="Arial"/>
          <w:sz w:val="20"/>
          <w:szCs w:val="20"/>
          <w:lang w:eastAsia="es-ES"/>
        </w:rPr>
      </w:pPr>
      <w:r w:rsidRPr="009E561D">
        <w:rPr>
          <w:rFonts w:ascii="Arial" w:eastAsia="Times New Roman" w:hAnsi="Arial" w:cs="Arial"/>
          <w:sz w:val="20"/>
          <w:szCs w:val="20"/>
          <w:lang w:eastAsia="es-ES"/>
        </w:rPr>
        <w:t>Promover la coordinación de los proyectos públicos y privados que por su función, magnitud, extensión o cualquier otro motivo, interesen a la vigencia del mismo Plan.</w:t>
      </w:r>
    </w:p>
    <w:p w:rsidR="009E561D" w:rsidRPr="009E561D" w:rsidRDefault="009E561D" w:rsidP="009E561D">
      <w:pPr>
        <w:spacing w:after="0" w:line="240" w:lineRule="auto"/>
        <w:ind w:left="360"/>
        <w:jc w:val="both"/>
        <w:rPr>
          <w:rFonts w:ascii="Arial" w:eastAsia="Times New Roman" w:hAnsi="Arial" w:cs="Arial"/>
          <w:sz w:val="20"/>
          <w:szCs w:val="20"/>
          <w:lang w:eastAsia="es-ES"/>
        </w:rPr>
      </w:pPr>
    </w:p>
    <w:p w:rsidR="009E561D" w:rsidRPr="009E561D" w:rsidRDefault="009E561D" w:rsidP="009E561D">
      <w:pPr>
        <w:spacing w:after="0" w:line="240" w:lineRule="auto"/>
        <w:ind w:left="360"/>
        <w:jc w:val="both"/>
        <w:rPr>
          <w:rFonts w:ascii="Arial" w:eastAsia="Times New Roman" w:hAnsi="Arial" w:cs="Arial"/>
          <w:sz w:val="20"/>
          <w:szCs w:val="20"/>
          <w:lang w:eastAsia="es-ES"/>
        </w:rPr>
      </w:pPr>
      <w:r w:rsidRPr="009E561D">
        <w:rPr>
          <w:rFonts w:ascii="Arial" w:eastAsia="Times New Roman" w:hAnsi="Arial" w:cs="Arial"/>
          <w:sz w:val="20"/>
          <w:szCs w:val="20"/>
          <w:lang w:eastAsia="es-ES"/>
        </w:rPr>
        <w:t>Asesorar y prestar asistencia a las Municipalidades y a los demás organismos públicos dedicados a la planificación, en todo cuanto convenga al establecimiento o fomento de esta disciplina.</w:t>
      </w:r>
    </w:p>
    <w:p w:rsidR="009E561D" w:rsidRPr="009E561D" w:rsidRDefault="009E561D" w:rsidP="009E561D">
      <w:pPr>
        <w:spacing w:after="0" w:line="240" w:lineRule="auto"/>
        <w:ind w:left="360"/>
        <w:jc w:val="both"/>
        <w:rPr>
          <w:rFonts w:ascii="Arial" w:eastAsia="Times New Roman" w:hAnsi="Arial" w:cs="Arial"/>
          <w:sz w:val="20"/>
          <w:szCs w:val="20"/>
          <w:lang w:eastAsia="es-ES"/>
        </w:rPr>
      </w:pPr>
    </w:p>
    <w:p w:rsidR="009E561D" w:rsidRPr="009E561D" w:rsidRDefault="009E561D" w:rsidP="009E561D">
      <w:pPr>
        <w:spacing w:after="0" w:line="240" w:lineRule="auto"/>
        <w:ind w:left="360"/>
        <w:jc w:val="both"/>
        <w:rPr>
          <w:rFonts w:ascii="Arial" w:eastAsia="Times New Roman" w:hAnsi="Arial" w:cs="Arial"/>
          <w:sz w:val="20"/>
          <w:szCs w:val="20"/>
          <w:lang w:eastAsia="es-ES"/>
        </w:rPr>
      </w:pPr>
      <w:r w:rsidRPr="009E561D">
        <w:rPr>
          <w:rFonts w:ascii="Arial" w:eastAsia="Times New Roman" w:hAnsi="Arial" w:cs="Arial"/>
          <w:sz w:val="20"/>
          <w:szCs w:val="20"/>
          <w:lang w:eastAsia="es-ES"/>
        </w:rPr>
        <w:t>Ejercer vigilancia y autoridad para el debido cumplimiento de las normas de interés nacional comprendidas en esa ley y en los reglamentos de desarrollo urbano.</w:t>
      </w:r>
    </w:p>
    <w:p w:rsidR="009E561D" w:rsidRPr="009E561D" w:rsidRDefault="009E561D" w:rsidP="009E561D">
      <w:pPr>
        <w:spacing w:after="0" w:line="240" w:lineRule="auto"/>
        <w:ind w:left="360"/>
        <w:jc w:val="both"/>
        <w:rPr>
          <w:rFonts w:ascii="Arial" w:eastAsia="Times New Roman" w:hAnsi="Arial" w:cs="Arial"/>
          <w:sz w:val="20"/>
          <w:szCs w:val="20"/>
          <w:lang w:eastAsia="es-ES"/>
        </w:rPr>
      </w:pPr>
    </w:p>
    <w:p w:rsidR="009E561D" w:rsidRPr="009E561D" w:rsidRDefault="009E561D" w:rsidP="009E561D">
      <w:pPr>
        <w:spacing w:after="0" w:line="240" w:lineRule="auto"/>
        <w:ind w:left="360"/>
        <w:jc w:val="both"/>
        <w:rPr>
          <w:rFonts w:ascii="Arial" w:eastAsia="Times New Roman" w:hAnsi="Arial" w:cs="Arial"/>
          <w:sz w:val="20"/>
          <w:szCs w:val="20"/>
          <w:lang w:eastAsia="es-ES"/>
        </w:rPr>
      </w:pPr>
      <w:r w:rsidRPr="009E561D">
        <w:rPr>
          <w:rFonts w:ascii="Arial" w:eastAsia="Times New Roman" w:hAnsi="Arial" w:cs="Arial"/>
          <w:sz w:val="20"/>
          <w:szCs w:val="20"/>
          <w:lang w:eastAsia="es-ES"/>
        </w:rPr>
        <w:t>Lo anterior para contribuir a la expansión ordenada de los centros urbanos, el equilibrio satisfactorio entre el desenvolvimiento urbano y el rural, por medio de una adecuada distribución de la población y de las actividades económicas, el desarrollo eficiente de las áreas urbanas, con el objeto de contribuir al mejor uso de los recursos naturales y humanos, para orientar la inversión en mejoras públicas.</w:t>
      </w:r>
    </w:p>
    <w:p w:rsidR="009E561D" w:rsidRPr="009E561D" w:rsidRDefault="009E561D" w:rsidP="009E561D">
      <w:pPr>
        <w:spacing w:after="0" w:line="240" w:lineRule="auto"/>
        <w:ind w:left="360"/>
        <w:jc w:val="both"/>
        <w:rPr>
          <w:rFonts w:ascii="Arial" w:eastAsia="Times New Roman" w:hAnsi="Arial" w:cs="Arial"/>
          <w:sz w:val="20"/>
          <w:szCs w:val="20"/>
          <w:lang w:eastAsia="es-ES"/>
        </w:rPr>
      </w:pPr>
    </w:p>
    <w:p w:rsidR="009E561D" w:rsidRPr="009E561D" w:rsidRDefault="009E561D" w:rsidP="009E561D">
      <w:pPr>
        <w:spacing w:after="0" w:line="240" w:lineRule="auto"/>
        <w:ind w:left="360"/>
        <w:jc w:val="both"/>
        <w:rPr>
          <w:rFonts w:ascii="Arial" w:eastAsia="Times New Roman" w:hAnsi="Arial" w:cs="Arial"/>
          <w:sz w:val="20"/>
          <w:szCs w:val="20"/>
          <w:lang w:eastAsia="es-ES"/>
        </w:rPr>
      </w:pPr>
      <w:r w:rsidRPr="009E561D">
        <w:rPr>
          <w:rFonts w:ascii="Arial" w:eastAsia="Times New Roman" w:hAnsi="Arial" w:cs="Arial"/>
          <w:sz w:val="20"/>
          <w:szCs w:val="20"/>
          <w:lang w:eastAsia="es-ES"/>
        </w:rPr>
        <w:t>El programa está dirigido al servicio de toda la población, dentro de la que se destaca, municipalidades, instituciones públicas, privadas y público en general.</w:t>
      </w:r>
    </w:p>
    <w:p w:rsidR="009E561D" w:rsidRPr="009E561D" w:rsidRDefault="009E561D" w:rsidP="009E561D">
      <w:pPr>
        <w:spacing w:after="0" w:line="240" w:lineRule="auto"/>
        <w:ind w:left="360"/>
        <w:jc w:val="both"/>
        <w:rPr>
          <w:rFonts w:ascii="Arial" w:eastAsia="Times New Roman" w:hAnsi="Arial" w:cs="Arial"/>
          <w:sz w:val="20"/>
          <w:szCs w:val="20"/>
          <w:lang w:eastAsia="es-ES"/>
        </w:rPr>
      </w:pPr>
    </w:p>
    <w:p w:rsidR="009E561D" w:rsidRPr="009E561D" w:rsidRDefault="009E561D" w:rsidP="009E561D">
      <w:pPr>
        <w:spacing w:after="0" w:line="240" w:lineRule="auto"/>
        <w:ind w:left="360"/>
        <w:jc w:val="both"/>
        <w:rPr>
          <w:rFonts w:ascii="Arial" w:eastAsia="Times New Roman" w:hAnsi="Arial" w:cs="Arial"/>
          <w:sz w:val="20"/>
          <w:szCs w:val="20"/>
          <w:lang w:eastAsia="es-ES"/>
        </w:rPr>
      </w:pPr>
      <w:r w:rsidRPr="009E561D">
        <w:rPr>
          <w:rFonts w:ascii="Arial" w:eastAsia="Times New Roman" w:hAnsi="Arial" w:cs="Arial"/>
          <w:sz w:val="20"/>
          <w:szCs w:val="20"/>
          <w:lang w:eastAsia="es-ES"/>
        </w:rPr>
        <w:t>Los servicios que genera este programa se dividen en tres:</w:t>
      </w:r>
    </w:p>
    <w:p w:rsidR="009E561D" w:rsidRPr="009E561D" w:rsidRDefault="009E561D" w:rsidP="009E561D">
      <w:pPr>
        <w:spacing w:after="0" w:line="240" w:lineRule="auto"/>
        <w:ind w:left="360"/>
        <w:jc w:val="both"/>
        <w:rPr>
          <w:rFonts w:ascii="Arial" w:eastAsia="Times New Roman" w:hAnsi="Arial" w:cs="Arial"/>
          <w:sz w:val="20"/>
          <w:szCs w:val="20"/>
          <w:lang w:eastAsia="es-ES"/>
        </w:rPr>
      </w:pPr>
    </w:p>
    <w:p w:rsidR="009E561D" w:rsidRPr="009E561D" w:rsidRDefault="009E561D" w:rsidP="009E561D">
      <w:pPr>
        <w:spacing w:after="0" w:line="240" w:lineRule="auto"/>
        <w:ind w:left="360"/>
        <w:jc w:val="both"/>
        <w:rPr>
          <w:rFonts w:ascii="Arial" w:eastAsia="Times New Roman" w:hAnsi="Arial" w:cs="Arial"/>
          <w:sz w:val="20"/>
          <w:szCs w:val="20"/>
          <w:lang w:eastAsia="es-ES"/>
        </w:rPr>
      </w:pPr>
      <w:r w:rsidRPr="009E561D">
        <w:rPr>
          <w:rFonts w:ascii="Arial" w:eastAsia="Times New Roman" w:hAnsi="Arial" w:cs="Arial"/>
          <w:sz w:val="20"/>
          <w:szCs w:val="20"/>
          <w:lang w:eastAsia="es-ES"/>
        </w:rPr>
        <w:t>Servicio de formulación, revisión y aprobación de planes reguladores urbanos y costeros.</w:t>
      </w:r>
    </w:p>
    <w:p w:rsidR="009E561D" w:rsidRPr="009E561D" w:rsidRDefault="009E561D" w:rsidP="009E561D">
      <w:pPr>
        <w:spacing w:after="0" w:line="240" w:lineRule="auto"/>
        <w:ind w:left="360"/>
        <w:jc w:val="both"/>
        <w:rPr>
          <w:rFonts w:ascii="Arial" w:eastAsia="Times New Roman" w:hAnsi="Arial" w:cs="Arial"/>
          <w:sz w:val="20"/>
          <w:szCs w:val="20"/>
          <w:lang w:eastAsia="es-ES"/>
        </w:rPr>
      </w:pPr>
    </w:p>
    <w:p w:rsidR="009E561D" w:rsidRPr="009E561D" w:rsidRDefault="009E561D" w:rsidP="009E561D">
      <w:pPr>
        <w:spacing w:after="0" w:line="240" w:lineRule="auto"/>
        <w:ind w:left="360"/>
        <w:jc w:val="both"/>
        <w:rPr>
          <w:rFonts w:ascii="Arial" w:eastAsia="Times New Roman" w:hAnsi="Arial" w:cs="Arial"/>
          <w:sz w:val="20"/>
          <w:szCs w:val="20"/>
          <w:lang w:eastAsia="es-ES"/>
        </w:rPr>
      </w:pPr>
      <w:r w:rsidRPr="009E561D">
        <w:rPr>
          <w:rFonts w:ascii="Arial" w:eastAsia="Times New Roman" w:hAnsi="Arial" w:cs="Arial"/>
          <w:sz w:val="20"/>
          <w:szCs w:val="20"/>
          <w:lang w:eastAsia="es-ES"/>
        </w:rPr>
        <w:t>Servicio de visado de planos.</w:t>
      </w:r>
    </w:p>
    <w:p w:rsidR="009E561D" w:rsidRPr="009E561D" w:rsidRDefault="009E561D" w:rsidP="009E561D">
      <w:pPr>
        <w:spacing w:after="0" w:line="240" w:lineRule="auto"/>
        <w:ind w:left="360"/>
        <w:jc w:val="both"/>
        <w:rPr>
          <w:rFonts w:ascii="Arial" w:eastAsia="Times New Roman" w:hAnsi="Arial" w:cs="Arial"/>
          <w:sz w:val="20"/>
          <w:szCs w:val="20"/>
          <w:lang w:eastAsia="es-ES"/>
        </w:rPr>
      </w:pPr>
    </w:p>
    <w:p w:rsidR="009E561D" w:rsidRPr="009E561D" w:rsidRDefault="009E561D" w:rsidP="009E561D">
      <w:pPr>
        <w:spacing w:after="0" w:line="240" w:lineRule="auto"/>
        <w:ind w:left="360"/>
        <w:jc w:val="both"/>
        <w:rPr>
          <w:rFonts w:ascii="Arial" w:eastAsia="Times New Roman" w:hAnsi="Arial" w:cs="Arial"/>
          <w:sz w:val="20"/>
          <w:szCs w:val="20"/>
          <w:lang w:eastAsia="es-ES"/>
        </w:rPr>
      </w:pPr>
      <w:r w:rsidRPr="009E561D">
        <w:rPr>
          <w:rFonts w:ascii="Arial" w:eastAsia="Times New Roman" w:hAnsi="Arial" w:cs="Arial"/>
          <w:sz w:val="20"/>
          <w:szCs w:val="20"/>
          <w:lang w:eastAsia="es-ES"/>
        </w:rPr>
        <w:t>Servicio de asesoría a municipalidades, instituciones públicas y privadas y público en general.</w:t>
      </w:r>
    </w:p>
    <w:p w:rsidR="009E561D" w:rsidRPr="009E561D" w:rsidRDefault="009E561D" w:rsidP="009E561D">
      <w:pPr>
        <w:spacing w:after="0" w:line="240" w:lineRule="auto"/>
        <w:ind w:left="360"/>
        <w:jc w:val="both"/>
        <w:rPr>
          <w:rFonts w:ascii="Arial" w:eastAsia="Times New Roman" w:hAnsi="Arial" w:cs="Arial"/>
          <w:sz w:val="20"/>
          <w:szCs w:val="20"/>
          <w:lang w:eastAsia="es-ES"/>
        </w:rPr>
      </w:pPr>
    </w:p>
    <w:p w:rsidR="009E561D" w:rsidRPr="009E561D" w:rsidRDefault="009E561D" w:rsidP="009E561D">
      <w:pPr>
        <w:spacing w:after="0" w:line="240" w:lineRule="auto"/>
        <w:ind w:left="360"/>
        <w:jc w:val="both"/>
        <w:rPr>
          <w:rFonts w:ascii="Arial" w:eastAsia="Times New Roman" w:hAnsi="Arial" w:cs="Arial"/>
          <w:sz w:val="20"/>
          <w:szCs w:val="20"/>
          <w:lang w:eastAsia="es-ES"/>
        </w:rPr>
      </w:pPr>
      <w:r w:rsidRPr="009E561D">
        <w:rPr>
          <w:rFonts w:ascii="Arial" w:eastAsia="Times New Roman" w:hAnsi="Arial" w:cs="Arial"/>
          <w:sz w:val="20"/>
          <w:szCs w:val="20"/>
          <w:lang w:eastAsia="es-ES"/>
        </w:rPr>
        <w:t>Los servicios responden al comportamiento de la demanda, la cual en el transcurso del ejercicio económico, debe ser atendida en un 100% en forma ágil y oportuna.</w:t>
      </w:r>
    </w:p>
    <w:p w:rsidR="00DA62C0" w:rsidRDefault="00DA62C0">
      <w:pPr>
        <w:rPr>
          <w:rFonts w:ascii="Arial" w:eastAsia="Times New Roman" w:hAnsi="Arial" w:cs="Arial"/>
          <w:sz w:val="20"/>
          <w:szCs w:val="20"/>
          <w:lang w:val="es-ES" w:eastAsia="es-ES"/>
        </w:rPr>
      </w:pPr>
    </w:p>
    <w:p w:rsidR="00DA62C0" w:rsidRDefault="00DA62C0">
      <w:pPr>
        <w:rPr>
          <w:rFonts w:ascii="Arial" w:eastAsia="Times New Roman" w:hAnsi="Arial" w:cs="Arial"/>
          <w:sz w:val="20"/>
          <w:szCs w:val="20"/>
          <w:lang w:val="es-ES" w:eastAsia="es-ES"/>
        </w:rPr>
      </w:pPr>
      <w:r>
        <w:rPr>
          <w:rFonts w:ascii="Arial" w:eastAsia="Times New Roman" w:hAnsi="Arial" w:cs="Arial"/>
          <w:sz w:val="20"/>
          <w:szCs w:val="20"/>
          <w:lang w:val="es-ES" w:eastAsia="es-ES"/>
        </w:rPr>
        <w:br w:type="page"/>
      </w:r>
    </w:p>
    <w:p w:rsidR="009E561D" w:rsidRDefault="009E561D" w:rsidP="009E561D">
      <w:pPr>
        <w:pStyle w:val="Ttulo2"/>
        <w:keepLines w:val="0"/>
        <w:spacing w:before="240" w:after="60" w:line="240" w:lineRule="auto"/>
        <w:ind w:left="720"/>
        <w:rPr>
          <w:rFonts w:ascii="Arial" w:eastAsia="Times New Roman" w:hAnsi="Arial" w:cs="Times New Roman"/>
          <w:bCs w:val="0"/>
          <w:color w:val="auto"/>
          <w:sz w:val="22"/>
          <w:szCs w:val="22"/>
          <w:lang w:eastAsia="es-ES"/>
        </w:rPr>
      </w:pPr>
      <w:bookmarkStart w:id="10" w:name="_Toc482965762"/>
    </w:p>
    <w:p w:rsidR="009E561D" w:rsidRPr="00916ECF" w:rsidRDefault="009E561D" w:rsidP="000665F1">
      <w:pPr>
        <w:pStyle w:val="Ttulo1"/>
        <w:keepLines w:val="0"/>
        <w:numPr>
          <w:ilvl w:val="0"/>
          <w:numId w:val="4"/>
        </w:numPr>
        <w:spacing w:after="60" w:line="240" w:lineRule="auto"/>
        <w:jc w:val="both"/>
        <w:rPr>
          <w:rFonts w:ascii="Arial" w:eastAsia="Times New Roman" w:hAnsi="Arial" w:cs="Arial"/>
          <w:b/>
          <w:color w:val="auto"/>
          <w:sz w:val="20"/>
          <w:szCs w:val="20"/>
          <w:lang w:eastAsia="es-ES"/>
        </w:rPr>
      </w:pPr>
      <w:r w:rsidRPr="00916ECF">
        <w:rPr>
          <w:rFonts w:ascii="Arial" w:eastAsia="Times New Roman" w:hAnsi="Arial" w:cs="Arial"/>
          <w:b/>
          <w:color w:val="auto"/>
          <w:sz w:val="20"/>
          <w:szCs w:val="20"/>
          <w:lang w:eastAsia="es-ES"/>
        </w:rPr>
        <w:t>Análisis del cumplimiento de las metas programadas por indicador</w:t>
      </w:r>
      <w:bookmarkEnd w:id="10"/>
    </w:p>
    <w:p w:rsidR="009E561D" w:rsidRPr="00916ECF" w:rsidRDefault="009E561D" w:rsidP="009E561D">
      <w:pPr>
        <w:pStyle w:val="Textoindependiente"/>
        <w:rPr>
          <w:rFonts w:ascii="Arial" w:hAnsi="Arial" w:cs="Arial"/>
          <w:sz w:val="20"/>
          <w:szCs w:val="20"/>
        </w:rPr>
      </w:pPr>
    </w:p>
    <w:p w:rsidR="009E561D" w:rsidRPr="00916ECF" w:rsidRDefault="009E561D" w:rsidP="009E561D">
      <w:pPr>
        <w:pStyle w:val="Textoindependiente"/>
        <w:spacing w:after="0" w:line="240" w:lineRule="auto"/>
        <w:jc w:val="both"/>
        <w:rPr>
          <w:rFonts w:ascii="Arial" w:eastAsia="Times New Roman" w:hAnsi="Arial" w:cs="Arial"/>
          <w:sz w:val="20"/>
          <w:szCs w:val="20"/>
          <w:lang w:eastAsia="es-ES"/>
        </w:rPr>
      </w:pPr>
      <w:r w:rsidRPr="00916ECF">
        <w:rPr>
          <w:rFonts w:ascii="Arial" w:eastAsia="Times New Roman" w:hAnsi="Arial" w:cs="Arial"/>
          <w:sz w:val="20"/>
          <w:szCs w:val="20"/>
          <w:lang w:eastAsia="es-ES"/>
        </w:rPr>
        <w:t>Servicio N°1. Servicio de formulación, revisión y aprobación de planes reguladores urbanos y costeros</w:t>
      </w:r>
    </w:p>
    <w:p w:rsidR="009E561D" w:rsidRPr="00916ECF" w:rsidRDefault="009E561D" w:rsidP="009E561D">
      <w:pPr>
        <w:pStyle w:val="Textoindependiente"/>
        <w:spacing w:after="0" w:line="240" w:lineRule="auto"/>
        <w:jc w:val="both"/>
        <w:rPr>
          <w:rFonts w:ascii="Arial" w:eastAsia="Times New Roman" w:hAnsi="Arial" w:cs="Arial"/>
          <w:sz w:val="20"/>
          <w:szCs w:val="20"/>
          <w:lang w:eastAsia="es-ES"/>
        </w:rPr>
      </w:pPr>
    </w:p>
    <w:p w:rsidR="009E561D" w:rsidRPr="00916ECF" w:rsidRDefault="009E561D" w:rsidP="009E561D">
      <w:pPr>
        <w:pStyle w:val="Textoindependiente"/>
        <w:spacing w:after="0" w:line="240" w:lineRule="auto"/>
        <w:jc w:val="both"/>
        <w:rPr>
          <w:rFonts w:ascii="Arial" w:eastAsia="Times New Roman" w:hAnsi="Arial" w:cs="Arial"/>
          <w:sz w:val="20"/>
          <w:szCs w:val="20"/>
          <w:lang w:eastAsia="es-ES"/>
        </w:rPr>
      </w:pPr>
      <w:r w:rsidRPr="00916ECF">
        <w:rPr>
          <w:rFonts w:ascii="Arial" w:eastAsia="Times New Roman" w:hAnsi="Arial" w:cs="Arial"/>
          <w:sz w:val="20"/>
          <w:szCs w:val="20"/>
          <w:lang w:eastAsia="es-ES"/>
        </w:rPr>
        <w:t>Permite la aplicación de la Ley de Planificación Urbana artículo 10, inciso 1, que faculta a la institución a revisar y aprobar los planes reguladores y sus reglamentos antes de su adopción por las municipalidades.</w:t>
      </w:r>
    </w:p>
    <w:p w:rsidR="009E561D" w:rsidRPr="00916ECF" w:rsidRDefault="009E561D" w:rsidP="009E561D">
      <w:pPr>
        <w:pStyle w:val="Textoindependiente"/>
        <w:spacing w:after="0" w:line="240" w:lineRule="auto"/>
        <w:jc w:val="both"/>
        <w:rPr>
          <w:rFonts w:ascii="Arial" w:eastAsia="Times New Roman" w:hAnsi="Arial" w:cs="Arial"/>
          <w:sz w:val="20"/>
          <w:szCs w:val="20"/>
          <w:lang w:eastAsia="es-ES"/>
        </w:rPr>
      </w:pPr>
    </w:p>
    <w:p w:rsidR="009E561D" w:rsidRPr="00916ECF" w:rsidRDefault="009E561D" w:rsidP="009E561D">
      <w:pPr>
        <w:pStyle w:val="Textoindependiente"/>
        <w:spacing w:after="0" w:line="240" w:lineRule="auto"/>
        <w:jc w:val="both"/>
        <w:rPr>
          <w:rFonts w:ascii="Arial" w:eastAsia="Times New Roman" w:hAnsi="Arial" w:cs="Arial"/>
          <w:sz w:val="20"/>
          <w:szCs w:val="20"/>
          <w:lang w:eastAsia="es-ES"/>
        </w:rPr>
      </w:pPr>
      <w:r w:rsidRPr="00916ECF">
        <w:rPr>
          <w:rFonts w:ascii="Arial" w:eastAsia="Times New Roman" w:hAnsi="Arial" w:cs="Arial"/>
          <w:sz w:val="20"/>
          <w:szCs w:val="20"/>
          <w:lang w:eastAsia="es-ES"/>
        </w:rPr>
        <w:t xml:space="preserve">Entre los documentos que se revisan para cada plan se tiene: </w:t>
      </w:r>
    </w:p>
    <w:p w:rsidR="009E561D" w:rsidRPr="00916ECF" w:rsidRDefault="009E561D" w:rsidP="009E561D">
      <w:pPr>
        <w:pStyle w:val="Textoindependiente"/>
        <w:spacing w:after="0" w:line="240" w:lineRule="auto"/>
        <w:jc w:val="both"/>
        <w:rPr>
          <w:rFonts w:ascii="Arial" w:eastAsia="Times New Roman" w:hAnsi="Arial" w:cs="Arial"/>
          <w:sz w:val="20"/>
          <w:szCs w:val="20"/>
          <w:lang w:eastAsia="es-ES"/>
        </w:rPr>
      </w:pPr>
    </w:p>
    <w:p w:rsidR="009E561D" w:rsidRPr="00916ECF" w:rsidRDefault="009E561D" w:rsidP="009E561D">
      <w:pPr>
        <w:pStyle w:val="Textoindependiente"/>
        <w:spacing w:after="0" w:line="240" w:lineRule="auto"/>
        <w:jc w:val="both"/>
        <w:rPr>
          <w:rFonts w:ascii="Arial" w:eastAsia="Times New Roman" w:hAnsi="Arial" w:cs="Arial"/>
          <w:sz w:val="20"/>
          <w:szCs w:val="20"/>
          <w:lang w:eastAsia="es-ES"/>
        </w:rPr>
      </w:pPr>
      <w:r w:rsidRPr="00916ECF">
        <w:rPr>
          <w:rFonts w:ascii="Arial" w:eastAsia="Times New Roman" w:hAnsi="Arial" w:cs="Arial"/>
          <w:sz w:val="20"/>
          <w:szCs w:val="20"/>
          <w:lang w:eastAsia="es-ES"/>
        </w:rPr>
        <w:t>Diagnóstico, propuestas</w:t>
      </w:r>
    </w:p>
    <w:p w:rsidR="009E561D" w:rsidRPr="00916ECF" w:rsidRDefault="009E561D" w:rsidP="009E561D">
      <w:pPr>
        <w:pStyle w:val="Textoindependiente"/>
        <w:spacing w:after="0" w:line="240" w:lineRule="auto"/>
        <w:jc w:val="both"/>
        <w:rPr>
          <w:rFonts w:ascii="Arial" w:eastAsia="Times New Roman" w:hAnsi="Arial" w:cs="Arial"/>
          <w:sz w:val="20"/>
          <w:szCs w:val="20"/>
          <w:lang w:eastAsia="es-ES"/>
        </w:rPr>
      </w:pPr>
      <w:r w:rsidRPr="00916ECF">
        <w:rPr>
          <w:rFonts w:ascii="Arial" w:eastAsia="Times New Roman" w:hAnsi="Arial" w:cs="Arial"/>
          <w:sz w:val="20"/>
          <w:szCs w:val="20"/>
          <w:lang w:eastAsia="es-ES"/>
        </w:rPr>
        <w:t xml:space="preserve">Reglamento y </w:t>
      </w:r>
    </w:p>
    <w:p w:rsidR="009E561D" w:rsidRPr="00916ECF" w:rsidRDefault="009E561D" w:rsidP="009E561D">
      <w:pPr>
        <w:pStyle w:val="Textoindependiente"/>
        <w:spacing w:after="0" w:line="240" w:lineRule="auto"/>
        <w:jc w:val="both"/>
        <w:rPr>
          <w:rFonts w:ascii="Arial" w:eastAsia="Times New Roman" w:hAnsi="Arial" w:cs="Arial"/>
          <w:sz w:val="20"/>
          <w:szCs w:val="20"/>
          <w:lang w:eastAsia="es-ES"/>
        </w:rPr>
      </w:pPr>
      <w:r w:rsidRPr="00916ECF">
        <w:rPr>
          <w:rFonts w:ascii="Arial" w:eastAsia="Times New Roman" w:hAnsi="Arial" w:cs="Arial"/>
          <w:sz w:val="20"/>
          <w:szCs w:val="20"/>
          <w:lang w:eastAsia="es-ES"/>
        </w:rPr>
        <w:t>Mapas de los planes</w:t>
      </w:r>
    </w:p>
    <w:p w:rsidR="009E561D" w:rsidRPr="00916ECF" w:rsidRDefault="009E561D" w:rsidP="009E561D">
      <w:pPr>
        <w:pStyle w:val="Textoindependiente"/>
        <w:spacing w:after="0" w:line="240" w:lineRule="auto"/>
        <w:jc w:val="both"/>
        <w:rPr>
          <w:rFonts w:ascii="Arial" w:eastAsia="Times New Roman" w:hAnsi="Arial" w:cs="Arial"/>
          <w:sz w:val="20"/>
          <w:szCs w:val="20"/>
          <w:lang w:eastAsia="es-ES"/>
        </w:rPr>
      </w:pPr>
    </w:p>
    <w:p w:rsidR="009E561D" w:rsidRPr="00916ECF" w:rsidRDefault="009E561D" w:rsidP="009E561D">
      <w:pPr>
        <w:pStyle w:val="Textoindependiente"/>
        <w:spacing w:after="0" w:line="240" w:lineRule="auto"/>
        <w:jc w:val="both"/>
        <w:rPr>
          <w:rFonts w:ascii="Arial" w:eastAsia="Times New Roman" w:hAnsi="Arial" w:cs="Arial"/>
          <w:sz w:val="20"/>
          <w:szCs w:val="20"/>
          <w:lang w:eastAsia="es-ES"/>
        </w:rPr>
      </w:pPr>
      <w:r w:rsidRPr="00916ECF">
        <w:rPr>
          <w:rFonts w:ascii="Arial" w:eastAsia="Times New Roman" w:hAnsi="Arial" w:cs="Arial"/>
          <w:sz w:val="20"/>
          <w:szCs w:val="20"/>
          <w:lang w:eastAsia="es-ES"/>
        </w:rPr>
        <w:t>Aspectos que se complementan con una verificación en sitio de lo presentado en el respectivo plan.</w:t>
      </w:r>
    </w:p>
    <w:p w:rsidR="009E561D" w:rsidRPr="00916ECF" w:rsidRDefault="009E561D" w:rsidP="009E561D">
      <w:pPr>
        <w:pStyle w:val="Textoindependiente"/>
        <w:spacing w:after="0" w:line="240" w:lineRule="auto"/>
        <w:jc w:val="both"/>
        <w:rPr>
          <w:rFonts w:ascii="Arial" w:eastAsia="Times New Roman" w:hAnsi="Arial" w:cs="Arial"/>
          <w:sz w:val="20"/>
          <w:szCs w:val="20"/>
          <w:lang w:eastAsia="es-ES"/>
        </w:rPr>
      </w:pPr>
    </w:p>
    <w:p w:rsidR="00DA62C0" w:rsidRPr="00916ECF" w:rsidRDefault="009E561D" w:rsidP="009E561D">
      <w:pPr>
        <w:pStyle w:val="Textoindependiente"/>
        <w:spacing w:after="0" w:line="240" w:lineRule="auto"/>
        <w:jc w:val="both"/>
        <w:rPr>
          <w:rFonts w:ascii="Arial" w:eastAsia="Times New Roman" w:hAnsi="Arial" w:cs="Arial"/>
          <w:sz w:val="20"/>
          <w:szCs w:val="20"/>
          <w:lang w:eastAsia="es-ES"/>
        </w:rPr>
      </w:pPr>
      <w:r w:rsidRPr="00916ECF">
        <w:rPr>
          <w:rFonts w:ascii="Arial" w:eastAsia="Times New Roman" w:hAnsi="Arial" w:cs="Arial"/>
          <w:sz w:val="20"/>
          <w:szCs w:val="20"/>
          <w:lang w:eastAsia="es-ES"/>
        </w:rPr>
        <w:br w:type="page"/>
      </w:r>
    </w:p>
    <w:p w:rsidR="009E561D" w:rsidRDefault="009E561D" w:rsidP="009E561D">
      <w:pPr>
        <w:spacing w:after="0" w:line="240" w:lineRule="auto"/>
        <w:jc w:val="both"/>
        <w:rPr>
          <w:rFonts w:ascii="Arial" w:eastAsia="Times New Roman" w:hAnsi="Arial" w:cs="Arial"/>
          <w:b/>
          <w:sz w:val="20"/>
          <w:szCs w:val="20"/>
          <w:lang w:eastAsia="es-ES"/>
        </w:rPr>
      </w:pPr>
    </w:p>
    <w:p w:rsidR="009E561D" w:rsidRPr="009E561D" w:rsidRDefault="009E561D" w:rsidP="009E561D">
      <w:pPr>
        <w:spacing w:after="0" w:line="240" w:lineRule="auto"/>
        <w:jc w:val="both"/>
        <w:rPr>
          <w:rFonts w:ascii="Arial" w:eastAsia="Times New Roman" w:hAnsi="Arial" w:cs="Arial"/>
          <w:b/>
          <w:sz w:val="20"/>
          <w:szCs w:val="20"/>
          <w:lang w:eastAsia="es-ES"/>
        </w:rPr>
      </w:pPr>
      <w:r w:rsidRPr="009E561D">
        <w:rPr>
          <w:rFonts w:ascii="Arial" w:eastAsia="Times New Roman" w:hAnsi="Arial" w:cs="Arial"/>
          <w:b/>
          <w:sz w:val="20"/>
          <w:szCs w:val="20"/>
          <w:lang w:eastAsia="es-ES"/>
        </w:rPr>
        <w:t>Indicador N°10 Porcentaje de avance en  la recopilación y análisis de información de ordenamiento territorial existente en coordinación con MIVAH</w:t>
      </w:r>
    </w:p>
    <w:p w:rsidR="009E561D" w:rsidRPr="009E561D" w:rsidRDefault="009E561D" w:rsidP="009E561D">
      <w:pPr>
        <w:spacing w:after="0" w:line="240" w:lineRule="auto"/>
        <w:jc w:val="both"/>
        <w:rPr>
          <w:rFonts w:ascii="Arial" w:eastAsia="Times New Roman" w:hAnsi="Arial" w:cs="Arial"/>
          <w:sz w:val="20"/>
          <w:szCs w:val="20"/>
          <w:lang w:eastAsia="es-ES"/>
        </w:rPr>
      </w:pPr>
    </w:p>
    <w:p w:rsidR="009E561D" w:rsidRPr="009E561D" w:rsidRDefault="009E561D" w:rsidP="009E561D">
      <w:pPr>
        <w:spacing w:after="0" w:line="240" w:lineRule="auto"/>
        <w:jc w:val="both"/>
        <w:rPr>
          <w:rFonts w:ascii="Arial" w:eastAsia="Times New Roman" w:hAnsi="Arial" w:cs="Arial"/>
          <w:sz w:val="20"/>
          <w:szCs w:val="20"/>
          <w:lang w:eastAsia="es-ES"/>
        </w:rPr>
      </w:pPr>
      <w:r w:rsidRPr="009E561D">
        <w:rPr>
          <w:rFonts w:ascii="Arial" w:eastAsia="Times New Roman" w:hAnsi="Arial" w:cs="Arial"/>
          <w:sz w:val="20"/>
          <w:szCs w:val="20"/>
          <w:lang w:eastAsia="es-ES"/>
        </w:rPr>
        <w:t>Se realizó un trabajo de apoyo a la Secretaria Técnica del Plan Nacional de Desarrollo Urbano (STPNDU), que consistió en revisar documentos, elaborar informes, sintetizar diagnósticos de las instituciones del Consejo Nacional de Planificación Urbana (CNPU), realizando reuniones en el MIVAH y en el INVU. Sin embargo, no se encontró consenso entre el Ministro y el INVU, y  el Ministerio decide trabajar en la Política de Desarrollo Urbano.</w:t>
      </w:r>
    </w:p>
    <w:p w:rsidR="009E561D" w:rsidRPr="009E561D" w:rsidRDefault="009E561D" w:rsidP="009E561D">
      <w:pPr>
        <w:spacing w:after="0" w:line="240" w:lineRule="auto"/>
        <w:jc w:val="both"/>
        <w:rPr>
          <w:rFonts w:ascii="Arial" w:eastAsia="Times New Roman" w:hAnsi="Arial" w:cs="Arial"/>
          <w:sz w:val="20"/>
          <w:szCs w:val="20"/>
          <w:lang w:eastAsia="es-ES"/>
        </w:rPr>
      </w:pPr>
    </w:p>
    <w:p w:rsidR="009E561D" w:rsidRPr="009E561D" w:rsidRDefault="009E561D" w:rsidP="009E561D">
      <w:pPr>
        <w:spacing w:after="0" w:line="240" w:lineRule="auto"/>
        <w:jc w:val="both"/>
        <w:rPr>
          <w:rFonts w:ascii="Arial" w:eastAsia="Times New Roman" w:hAnsi="Arial" w:cs="Arial"/>
          <w:sz w:val="20"/>
          <w:szCs w:val="20"/>
          <w:lang w:eastAsia="es-ES"/>
        </w:rPr>
      </w:pPr>
      <w:r w:rsidRPr="009E561D">
        <w:rPr>
          <w:rFonts w:ascii="Arial" w:eastAsia="Times New Roman" w:hAnsi="Arial" w:cs="Arial"/>
          <w:sz w:val="20"/>
          <w:szCs w:val="20"/>
          <w:lang w:eastAsia="es-ES"/>
        </w:rPr>
        <w:t>En proceso el análisis, ampliación y mejora de la propuesta, planteada por el STPNDU. Este trabajo se realiza de forma conjunta con  el CNPUy MIDEPLAN.</w:t>
      </w:r>
    </w:p>
    <w:p w:rsidR="009E561D" w:rsidRDefault="009E561D" w:rsidP="009E561D">
      <w:pPr>
        <w:spacing w:after="0" w:line="240" w:lineRule="auto"/>
        <w:jc w:val="both"/>
        <w:rPr>
          <w:rFonts w:ascii="Arial" w:eastAsia="Times New Roman" w:hAnsi="Arial" w:cs="Arial"/>
          <w:sz w:val="20"/>
          <w:szCs w:val="20"/>
          <w:lang w:eastAsia="es-ES"/>
        </w:rPr>
      </w:pPr>
    </w:p>
    <w:p w:rsidR="009E561D" w:rsidRDefault="009E561D" w:rsidP="009E561D">
      <w:pPr>
        <w:spacing w:after="0" w:line="240" w:lineRule="auto"/>
        <w:jc w:val="both"/>
        <w:rPr>
          <w:rFonts w:ascii="Arial" w:eastAsia="Times New Roman" w:hAnsi="Arial" w:cs="Arial"/>
          <w:sz w:val="20"/>
          <w:szCs w:val="20"/>
          <w:lang w:eastAsia="es-ES"/>
        </w:rPr>
      </w:pPr>
    </w:p>
    <w:p w:rsidR="009E561D" w:rsidRPr="009E561D" w:rsidRDefault="009E561D" w:rsidP="009E561D">
      <w:pPr>
        <w:spacing w:after="0" w:line="240" w:lineRule="auto"/>
        <w:jc w:val="both"/>
        <w:rPr>
          <w:rFonts w:ascii="Arial" w:eastAsia="Times New Roman" w:hAnsi="Arial" w:cs="Arial"/>
          <w:sz w:val="20"/>
          <w:szCs w:val="20"/>
          <w:lang w:eastAsia="es-ES"/>
        </w:rPr>
      </w:pPr>
    </w:p>
    <w:p w:rsidR="009E561D" w:rsidRPr="009E561D" w:rsidRDefault="009E561D" w:rsidP="009E561D">
      <w:pPr>
        <w:spacing w:after="0" w:line="240" w:lineRule="auto"/>
        <w:jc w:val="both"/>
        <w:rPr>
          <w:rFonts w:ascii="Arial" w:eastAsia="Times New Roman" w:hAnsi="Arial" w:cs="Arial"/>
          <w:b/>
          <w:sz w:val="20"/>
          <w:szCs w:val="20"/>
          <w:lang w:eastAsia="es-ES"/>
        </w:rPr>
      </w:pPr>
      <w:r w:rsidRPr="009E561D">
        <w:rPr>
          <w:rFonts w:ascii="Arial" w:eastAsia="Times New Roman" w:hAnsi="Arial" w:cs="Arial"/>
          <w:b/>
          <w:sz w:val="20"/>
          <w:szCs w:val="20"/>
          <w:lang w:eastAsia="es-ES"/>
        </w:rPr>
        <w:t>Indicador N°11 Porcentaje de avance en el levantamiento de las variables físico-construidas, socioeconómicas y ambientales para la Regiones Huetar Norte y Brunca</w:t>
      </w:r>
    </w:p>
    <w:p w:rsidR="009E561D" w:rsidRPr="009E561D" w:rsidRDefault="009E561D" w:rsidP="009E561D">
      <w:pPr>
        <w:spacing w:after="0" w:line="240" w:lineRule="auto"/>
        <w:jc w:val="both"/>
        <w:rPr>
          <w:rFonts w:ascii="Arial" w:eastAsia="Times New Roman" w:hAnsi="Arial" w:cs="Arial"/>
          <w:b/>
          <w:sz w:val="20"/>
          <w:szCs w:val="20"/>
          <w:lang w:eastAsia="es-ES"/>
        </w:rPr>
      </w:pPr>
    </w:p>
    <w:p w:rsidR="009E561D" w:rsidRPr="009E561D" w:rsidRDefault="009E561D" w:rsidP="009E561D">
      <w:pPr>
        <w:spacing w:after="0" w:line="240" w:lineRule="auto"/>
        <w:jc w:val="both"/>
        <w:rPr>
          <w:rFonts w:ascii="Arial" w:eastAsia="Times New Roman" w:hAnsi="Arial" w:cs="Arial"/>
          <w:sz w:val="20"/>
          <w:szCs w:val="20"/>
          <w:lang w:eastAsia="es-ES"/>
        </w:rPr>
      </w:pPr>
      <w:r w:rsidRPr="009E561D">
        <w:rPr>
          <w:rFonts w:ascii="Arial" w:eastAsia="Times New Roman" w:hAnsi="Arial" w:cs="Arial"/>
          <w:sz w:val="20"/>
          <w:szCs w:val="20"/>
          <w:lang w:eastAsia="es-ES"/>
        </w:rPr>
        <w:t xml:space="preserve">   Contratación para el acopio y nivelación de la información de las variables de desarrollo urbano, indicadas en el Artículo 3 de la Ley de Planificación Urbana, insumos para elaborar el diagnóstico o estado de situación del Plan Nacional de Desarrollo Urbano (PNDU). </w:t>
      </w:r>
    </w:p>
    <w:p w:rsidR="009E561D" w:rsidRPr="009E561D" w:rsidRDefault="009E561D" w:rsidP="009E561D">
      <w:pPr>
        <w:spacing w:after="0" w:line="240" w:lineRule="auto"/>
        <w:jc w:val="both"/>
        <w:rPr>
          <w:rFonts w:ascii="Arial" w:eastAsia="Times New Roman" w:hAnsi="Arial" w:cs="Arial"/>
          <w:sz w:val="20"/>
          <w:szCs w:val="20"/>
          <w:lang w:eastAsia="es-ES"/>
        </w:rPr>
      </w:pPr>
    </w:p>
    <w:p w:rsidR="009E561D" w:rsidRPr="009E561D" w:rsidRDefault="009E561D" w:rsidP="009E561D">
      <w:pPr>
        <w:spacing w:after="0" w:line="240" w:lineRule="auto"/>
        <w:jc w:val="both"/>
        <w:rPr>
          <w:rFonts w:ascii="Arial" w:eastAsia="Times New Roman" w:hAnsi="Arial" w:cs="Arial"/>
          <w:sz w:val="20"/>
          <w:szCs w:val="20"/>
          <w:lang w:eastAsia="es-ES"/>
        </w:rPr>
      </w:pPr>
      <w:r w:rsidRPr="009E561D">
        <w:rPr>
          <w:rFonts w:ascii="Arial" w:eastAsia="Times New Roman" w:hAnsi="Arial" w:cs="Arial"/>
          <w:sz w:val="20"/>
          <w:szCs w:val="20"/>
          <w:lang w:eastAsia="es-ES"/>
        </w:rPr>
        <w:t xml:space="preserve">Esta Contratación de dos profesionales en arquitectura, ingeniería, geografía, sociología o economía, con especialidad o énfasis en planificación urbana y economía urbana, con N°2017CD-000029-01, presenta un avance del 80%. </w:t>
      </w:r>
    </w:p>
    <w:p w:rsidR="009E561D" w:rsidRPr="009E561D" w:rsidRDefault="009E561D" w:rsidP="009E561D">
      <w:pPr>
        <w:spacing w:after="0" w:line="240" w:lineRule="auto"/>
        <w:jc w:val="both"/>
        <w:rPr>
          <w:rFonts w:ascii="Arial" w:eastAsia="Times New Roman" w:hAnsi="Arial" w:cs="Arial"/>
          <w:sz w:val="20"/>
          <w:szCs w:val="20"/>
          <w:lang w:eastAsia="es-ES"/>
        </w:rPr>
      </w:pPr>
    </w:p>
    <w:p w:rsidR="009E561D" w:rsidRPr="009E561D" w:rsidRDefault="009E561D" w:rsidP="009E561D">
      <w:pPr>
        <w:spacing w:after="0" w:line="240" w:lineRule="auto"/>
        <w:jc w:val="both"/>
        <w:rPr>
          <w:rFonts w:ascii="Arial" w:eastAsia="Times New Roman" w:hAnsi="Arial" w:cs="Arial"/>
          <w:sz w:val="20"/>
          <w:szCs w:val="20"/>
          <w:lang w:eastAsia="es-ES"/>
        </w:rPr>
      </w:pPr>
    </w:p>
    <w:p w:rsidR="009E561D" w:rsidRPr="009E561D" w:rsidRDefault="009E561D" w:rsidP="009E561D">
      <w:pPr>
        <w:spacing w:after="0" w:line="240" w:lineRule="auto"/>
        <w:jc w:val="both"/>
        <w:rPr>
          <w:rFonts w:ascii="Arial" w:eastAsia="Times New Roman" w:hAnsi="Arial" w:cs="Arial"/>
          <w:sz w:val="20"/>
          <w:szCs w:val="20"/>
          <w:lang w:eastAsia="es-ES"/>
        </w:rPr>
      </w:pPr>
      <w:r w:rsidRPr="009E561D">
        <w:rPr>
          <w:rFonts w:ascii="Arial" w:eastAsia="Times New Roman" w:hAnsi="Arial" w:cs="Arial"/>
          <w:sz w:val="20"/>
          <w:szCs w:val="20"/>
          <w:lang w:eastAsia="es-ES"/>
        </w:rPr>
        <w:t xml:space="preserve">    Contratación de un especialista en paisajismo, para elaborar los catálogos y demás consideraciones técnicas de paisaje de Costa Rica, como insumo de planificación para la elaboración del Plan Nacional de Desarrollo Urbano (PNDU).</w:t>
      </w:r>
    </w:p>
    <w:p w:rsidR="009E561D" w:rsidRPr="009E561D" w:rsidRDefault="009E561D" w:rsidP="009E561D">
      <w:pPr>
        <w:spacing w:after="0" w:line="240" w:lineRule="auto"/>
        <w:jc w:val="both"/>
        <w:rPr>
          <w:rFonts w:ascii="Arial" w:eastAsia="Times New Roman" w:hAnsi="Arial" w:cs="Arial"/>
          <w:sz w:val="20"/>
          <w:szCs w:val="20"/>
          <w:lang w:eastAsia="es-ES"/>
        </w:rPr>
      </w:pPr>
    </w:p>
    <w:p w:rsidR="009E561D" w:rsidRPr="009E561D" w:rsidRDefault="009E561D" w:rsidP="009E561D">
      <w:pPr>
        <w:spacing w:after="0" w:line="240" w:lineRule="auto"/>
        <w:jc w:val="both"/>
        <w:rPr>
          <w:rFonts w:ascii="Arial" w:eastAsia="Times New Roman" w:hAnsi="Arial" w:cs="Arial"/>
          <w:sz w:val="20"/>
          <w:szCs w:val="20"/>
          <w:lang w:eastAsia="es-ES"/>
        </w:rPr>
      </w:pPr>
      <w:r w:rsidRPr="009E561D">
        <w:rPr>
          <w:rFonts w:ascii="Arial" w:eastAsia="Times New Roman" w:hAnsi="Arial" w:cs="Arial"/>
          <w:sz w:val="20"/>
          <w:szCs w:val="20"/>
          <w:lang w:eastAsia="es-ES"/>
        </w:rPr>
        <w:t xml:space="preserve">Esta Contratación de una Consultoría especializada de dos profesionales en arquitectura, ingeniería, geografía, sociología o economía, con especialidad o énfasis en Planificación Urbana y economía Urbana para elaborar los catálogos de paisajes y demás consideraciones técnicas del paisaje para Costa Rica, con N° 2017CD-000021-01, cuenta con un avance del 100%. </w:t>
      </w:r>
    </w:p>
    <w:p w:rsidR="009E561D" w:rsidRPr="009E561D" w:rsidRDefault="009E561D" w:rsidP="009E561D">
      <w:pPr>
        <w:spacing w:after="0" w:line="240" w:lineRule="auto"/>
        <w:jc w:val="both"/>
        <w:rPr>
          <w:rFonts w:ascii="Arial" w:eastAsia="Times New Roman" w:hAnsi="Arial" w:cs="Arial"/>
          <w:sz w:val="20"/>
          <w:szCs w:val="20"/>
          <w:lang w:eastAsia="es-ES"/>
        </w:rPr>
      </w:pPr>
    </w:p>
    <w:p w:rsidR="009E561D" w:rsidRPr="009E561D" w:rsidRDefault="009E561D" w:rsidP="009E561D">
      <w:pPr>
        <w:spacing w:after="0" w:line="240" w:lineRule="auto"/>
        <w:jc w:val="both"/>
        <w:rPr>
          <w:rFonts w:ascii="Arial" w:eastAsia="Times New Roman" w:hAnsi="Arial" w:cs="Arial"/>
          <w:sz w:val="20"/>
          <w:szCs w:val="20"/>
          <w:lang w:eastAsia="es-ES"/>
        </w:rPr>
      </w:pPr>
      <w:r w:rsidRPr="009E561D">
        <w:rPr>
          <w:rFonts w:ascii="Arial" w:eastAsia="Times New Roman" w:hAnsi="Arial" w:cs="Arial"/>
          <w:sz w:val="20"/>
          <w:szCs w:val="20"/>
          <w:lang w:eastAsia="es-ES"/>
        </w:rPr>
        <w:t>Obtención de parte de la Universidad de Costa Rica (UCR) del catálogo de Unidades de Paisaje de la Gran Área Metropolitana (GAM), como insumo para la planificación urbana.</w:t>
      </w:r>
    </w:p>
    <w:p w:rsidR="009E561D" w:rsidRPr="009E561D" w:rsidRDefault="009E561D" w:rsidP="009E561D">
      <w:pPr>
        <w:spacing w:after="0" w:line="240" w:lineRule="auto"/>
        <w:jc w:val="both"/>
        <w:rPr>
          <w:rFonts w:ascii="Arial" w:eastAsia="Times New Roman" w:hAnsi="Arial" w:cs="Arial"/>
          <w:sz w:val="20"/>
          <w:szCs w:val="20"/>
          <w:lang w:eastAsia="es-ES"/>
        </w:rPr>
      </w:pPr>
      <w:r w:rsidRPr="009E561D">
        <w:rPr>
          <w:rFonts w:ascii="Arial" w:eastAsia="Times New Roman" w:hAnsi="Arial" w:cs="Arial"/>
          <w:sz w:val="20"/>
          <w:szCs w:val="20"/>
          <w:lang w:eastAsia="es-ES"/>
        </w:rPr>
        <w:t xml:space="preserve">La Universidad concretó la entrega (digital y física) de los catálogos de Paisaje y Unidades para el Gran Área Metropolitana. </w:t>
      </w:r>
    </w:p>
    <w:p w:rsidR="00DA62C0" w:rsidRDefault="00DA62C0">
      <w:pPr>
        <w:rPr>
          <w:rFonts w:ascii="Arial" w:eastAsia="Times New Roman" w:hAnsi="Arial" w:cs="Arial"/>
          <w:sz w:val="20"/>
          <w:szCs w:val="20"/>
          <w:lang w:val="es-ES" w:eastAsia="es-ES"/>
        </w:rPr>
      </w:pPr>
      <w:r>
        <w:rPr>
          <w:rFonts w:ascii="Arial" w:eastAsia="Times New Roman" w:hAnsi="Arial" w:cs="Arial"/>
          <w:sz w:val="20"/>
          <w:szCs w:val="20"/>
          <w:lang w:val="es-ES" w:eastAsia="es-ES"/>
        </w:rPr>
        <w:br w:type="page"/>
      </w:r>
    </w:p>
    <w:p w:rsidR="00916ECF" w:rsidRDefault="00916ECF" w:rsidP="009E561D">
      <w:pPr>
        <w:spacing w:after="0" w:line="240" w:lineRule="auto"/>
        <w:jc w:val="both"/>
        <w:rPr>
          <w:rFonts w:ascii="Arial" w:eastAsia="Times New Roman" w:hAnsi="Arial" w:cs="Arial"/>
          <w:b/>
          <w:sz w:val="20"/>
          <w:szCs w:val="20"/>
          <w:lang w:eastAsia="es-ES"/>
        </w:rPr>
      </w:pPr>
    </w:p>
    <w:p w:rsidR="009E561D" w:rsidRPr="009E561D" w:rsidRDefault="009E561D" w:rsidP="009E561D">
      <w:pPr>
        <w:spacing w:after="0" w:line="240" w:lineRule="auto"/>
        <w:jc w:val="both"/>
        <w:rPr>
          <w:rFonts w:ascii="Arial" w:eastAsia="Times New Roman" w:hAnsi="Arial" w:cs="Arial"/>
          <w:b/>
          <w:sz w:val="20"/>
          <w:szCs w:val="20"/>
          <w:lang w:eastAsia="es-ES"/>
        </w:rPr>
      </w:pPr>
      <w:r w:rsidRPr="009E561D">
        <w:rPr>
          <w:rFonts w:ascii="Arial" w:eastAsia="Times New Roman" w:hAnsi="Arial" w:cs="Arial"/>
          <w:b/>
          <w:sz w:val="20"/>
          <w:szCs w:val="20"/>
          <w:lang w:eastAsia="es-ES"/>
        </w:rPr>
        <w:t xml:space="preserve">Indicador N°12 Cantidad de reglamentos y manuales actualizados (Reglamento de Construcciones, Reglamento de Fraccionamiento y Urbanizaciones y Manual de Elaboración de Planes Reguladores Cantonales, Manual de Planes Reguladores de Ordenamiento Territorial Local) </w:t>
      </w:r>
    </w:p>
    <w:p w:rsidR="009E561D" w:rsidRPr="009E561D" w:rsidRDefault="009E561D" w:rsidP="009E561D">
      <w:pPr>
        <w:spacing w:after="0" w:line="240" w:lineRule="auto"/>
        <w:jc w:val="both"/>
        <w:rPr>
          <w:rFonts w:ascii="Arial" w:eastAsia="Times New Roman" w:hAnsi="Arial" w:cs="Arial"/>
          <w:b/>
          <w:sz w:val="20"/>
          <w:szCs w:val="20"/>
          <w:lang w:eastAsia="es-ES"/>
        </w:rPr>
      </w:pPr>
    </w:p>
    <w:p w:rsidR="009E561D" w:rsidRPr="009E561D" w:rsidRDefault="009E561D" w:rsidP="009E561D">
      <w:pPr>
        <w:spacing w:after="0" w:line="240" w:lineRule="auto"/>
        <w:jc w:val="both"/>
        <w:rPr>
          <w:rFonts w:ascii="Arial" w:eastAsia="Times New Roman" w:hAnsi="Arial" w:cs="Arial"/>
          <w:sz w:val="20"/>
          <w:szCs w:val="20"/>
          <w:lang w:eastAsia="es-ES"/>
        </w:rPr>
      </w:pPr>
      <w:r w:rsidRPr="009E561D">
        <w:rPr>
          <w:rFonts w:ascii="Arial" w:eastAsia="Times New Roman" w:hAnsi="Arial" w:cs="Arial"/>
          <w:sz w:val="20"/>
          <w:szCs w:val="20"/>
          <w:lang w:eastAsia="es-ES"/>
        </w:rPr>
        <w:t>A diciembre se finalizó el Reglamento de Renovación Urbana, se terminó la actualización del Manual de Planes Reguladores de Ordenamiento Territorial Local, el cual fue aprobado por Junta Directiva. El Reglamento de Construcciones cuenta con un avance del 90%.</w:t>
      </w:r>
    </w:p>
    <w:p w:rsidR="009E561D" w:rsidRPr="009E561D" w:rsidRDefault="009E561D" w:rsidP="009E561D">
      <w:pPr>
        <w:spacing w:after="0" w:line="240" w:lineRule="auto"/>
        <w:jc w:val="both"/>
        <w:rPr>
          <w:rFonts w:ascii="Arial" w:eastAsia="Times New Roman" w:hAnsi="Arial" w:cs="Arial"/>
          <w:sz w:val="20"/>
          <w:szCs w:val="20"/>
          <w:lang w:eastAsia="es-ES"/>
        </w:rPr>
      </w:pPr>
    </w:p>
    <w:p w:rsidR="009E561D" w:rsidRPr="009E561D" w:rsidRDefault="009E561D" w:rsidP="009E561D">
      <w:pPr>
        <w:spacing w:after="0" w:line="240" w:lineRule="auto"/>
        <w:jc w:val="both"/>
        <w:rPr>
          <w:rFonts w:ascii="Arial" w:eastAsia="Times New Roman" w:hAnsi="Arial" w:cs="Arial"/>
          <w:sz w:val="20"/>
          <w:szCs w:val="20"/>
          <w:lang w:eastAsia="es-ES"/>
        </w:rPr>
      </w:pPr>
      <w:r w:rsidRPr="009E561D">
        <w:rPr>
          <w:rFonts w:ascii="Arial" w:eastAsia="Times New Roman" w:hAnsi="Arial" w:cs="Arial"/>
          <w:sz w:val="20"/>
          <w:szCs w:val="20"/>
          <w:lang w:eastAsia="es-ES"/>
        </w:rPr>
        <w:t>Se continúa con la revisión del Reglamento para El Control Nacional de Fraccionamientos y Urbanizaciones.</w:t>
      </w:r>
    </w:p>
    <w:p w:rsidR="009E561D" w:rsidRPr="009E561D" w:rsidRDefault="009E561D" w:rsidP="009E561D">
      <w:pPr>
        <w:spacing w:after="0" w:line="240" w:lineRule="auto"/>
        <w:jc w:val="both"/>
        <w:rPr>
          <w:rFonts w:ascii="Arial" w:eastAsia="Times New Roman" w:hAnsi="Arial" w:cs="Arial"/>
          <w:sz w:val="20"/>
          <w:szCs w:val="20"/>
          <w:lang w:eastAsia="es-ES"/>
        </w:rPr>
      </w:pPr>
    </w:p>
    <w:p w:rsidR="009E561D" w:rsidRPr="009E561D" w:rsidRDefault="009E561D" w:rsidP="009E561D">
      <w:pPr>
        <w:spacing w:after="0" w:line="240" w:lineRule="auto"/>
        <w:jc w:val="both"/>
        <w:rPr>
          <w:rFonts w:ascii="Arial" w:eastAsia="Times New Roman" w:hAnsi="Arial" w:cs="Arial"/>
          <w:sz w:val="20"/>
          <w:szCs w:val="20"/>
          <w:lang w:eastAsia="es-ES"/>
        </w:rPr>
      </w:pPr>
      <w:r w:rsidRPr="009E561D">
        <w:rPr>
          <w:rFonts w:ascii="Arial" w:eastAsia="Times New Roman" w:hAnsi="Arial" w:cs="Arial"/>
          <w:sz w:val="20"/>
          <w:szCs w:val="20"/>
          <w:lang w:eastAsia="es-ES"/>
        </w:rPr>
        <w:t>Se cumplió la meta anual en un 97% ya que se finalizaron dos documentos y el otro cuenta con un avance del 90%, al finalizar el IV trimestre.</w:t>
      </w:r>
    </w:p>
    <w:p w:rsidR="009E561D" w:rsidRPr="009E561D" w:rsidRDefault="009E561D" w:rsidP="009E561D">
      <w:pPr>
        <w:spacing w:after="0" w:line="240" w:lineRule="auto"/>
        <w:jc w:val="both"/>
        <w:rPr>
          <w:rFonts w:ascii="Arial" w:eastAsia="Times New Roman" w:hAnsi="Arial" w:cs="Arial"/>
          <w:sz w:val="20"/>
          <w:szCs w:val="20"/>
          <w:lang w:eastAsia="es-ES"/>
        </w:rPr>
      </w:pPr>
    </w:p>
    <w:p w:rsidR="009E561D" w:rsidRPr="009E561D" w:rsidRDefault="009E561D" w:rsidP="009E561D">
      <w:pPr>
        <w:spacing w:after="0" w:line="240" w:lineRule="auto"/>
        <w:jc w:val="both"/>
        <w:rPr>
          <w:rFonts w:ascii="Arial" w:eastAsia="Times New Roman" w:hAnsi="Arial" w:cs="Arial"/>
          <w:sz w:val="20"/>
          <w:szCs w:val="20"/>
          <w:lang w:eastAsia="es-ES"/>
        </w:rPr>
      </w:pPr>
    </w:p>
    <w:p w:rsidR="009E561D" w:rsidRPr="009E561D" w:rsidRDefault="009E561D" w:rsidP="009E561D">
      <w:pPr>
        <w:spacing w:after="0" w:line="240" w:lineRule="auto"/>
        <w:jc w:val="both"/>
        <w:rPr>
          <w:rFonts w:ascii="Arial" w:eastAsia="Times New Roman" w:hAnsi="Arial" w:cs="Arial"/>
          <w:sz w:val="20"/>
          <w:szCs w:val="20"/>
          <w:lang w:eastAsia="es-ES"/>
        </w:rPr>
      </w:pPr>
      <w:r w:rsidRPr="009E561D">
        <w:rPr>
          <w:rFonts w:ascii="Arial" w:eastAsia="Times New Roman" w:hAnsi="Arial" w:cs="Arial"/>
          <w:sz w:val="20"/>
          <w:szCs w:val="20"/>
          <w:lang w:eastAsia="es-ES"/>
        </w:rPr>
        <w:t>Seguidamente se muestra el detalle de lo actuado:</w:t>
      </w:r>
    </w:p>
    <w:p w:rsidR="009E561D" w:rsidRPr="009E561D" w:rsidRDefault="009E561D" w:rsidP="009E561D">
      <w:pPr>
        <w:spacing w:after="0" w:line="240" w:lineRule="auto"/>
        <w:jc w:val="both"/>
        <w:rPr>
          <w:rFonts w:ascii="Arial" w:eastAsia="Times New Roman" w:hAnsi="Arial" w:cs="Arial"/>
          <w:b/>
          <w:sz w:val="20"/>
          <w:szCs w:val="20"/>
          <w:lang w:eastAsia="es-ES"/>
        </w:rPr>
      </w:pPr>
    </w:p>
    <w:p w:rsidR="009E561D" w:rsidRPr="009E561D" w:rsidRDefault="009E561D" w:rsidP="009E561D">
      <w:pPr>
        <w:spacing w:after="0" w:line="240" w:lineRule="auto"/>
        <w:jc w:val="both"/>
        <w:rPr>
          <w:rFonts w:ascii="Arial" w:eastAsia="Times New Roman" w:hAnsi="Arial" w:cs="Arial"/>
          <w:b/>
          <w:sz w:val="20"/>
          <w:szCs w:val="20"/>
          <w:lang w:eastAsia="es-ES"/>
        </w:rPr>
      </w:pPr>
    </w:p>
    <w:tbl>
      <w:tblPr>
        <w:tblW w:w="5145" w:type="pct"/>
        <w:tblBorders>
          <w:insideH w:val="single" w:sz="6" w:space="0" w:color="000000"/>
          <w:insideV w:val="single" w:sz="6" w:space="0" w:color="000000"/>
        </w:tblBorders>
        <w:tblLook w:val="04A0" w:firstRow="1" w:lastRow="0" w:firstColumn="1" w:lastColumn="0" w:noHBand="0" w:noVBand="1"/>
      </w:tblPr>
      <w:tblGrid>
        <w:gridCol w:w="9319"/>
      </w:tblGrid>
      <w:tr w:rsidR="009E561D" w:rsidRPr="009E561D" w:rsidTr="00746DC0">
        <w:trPr>
          <w:trHeight w:val="271"/>
        </w:trPr>
        <w:tc>
          <w:tcPr>
            <w:tcW w:w="5000" w:type="pct"/>
            <w:shd w:val="clear" w:color="auto" w:fill="auto"/>
            <w:noWrap/>
            <w:hideMark/>
          </w:tcPr>
          <w:tbl>
            <w:tblPr>
              <w:tblW w:w="9103" w:type="dxa"/>
              <w:tblBorders>
                <w:insideH w:val="single" w:sz="6" w:space="0" w:color="000000"/>
                <w:insideV w:val="single" w:sz="6" w:space="0" w:color="000000"/>
              </w:tblBorders>
              <w:tblLook w:val="04A0" w:firstRow="1" w:lastRow="0" w:firstColumn="1" w:lastColumn="0" w:noHBand="0" w:noVBand="1"/>
            </w:tblPr>
            <w:tblGrid>
              <w:gridCol w:w="4293"/>
              <w:gridCol w:w="4810"/>
            </w:tblGrid>
            <w:tr w:rsidR="009E561D" w:rsidRPr="009E561D" w:rsidTr="00746DC0">
              <w:trPr>
                <w:trHeight w:val="270"/>
              </w:trPr>
              <w:tc>
                <w:tcPr>
                  <w:tcW w:w="5000" w:type="pct"/>
                  <w:gridSpan w:val="2"/>
                  <w:shd w:val="clear" w:color="auto" w:fill="auto"/>
                  <w:noWrap/>
                  <w:hideMark/>
                </w:tcPr>
                <w:p w:rsidR="009E561D" w:rsidRPr="009E561D" w:rsidRDefault="009E561D" w:rsidP="009E561D">
                  <w:pPr>
                    <w:spacing w:after="0" w:line="240" w:lineRule="auto"/>
                    <w:jc w:val="center"/>
                    <w:rPr>
                      <w:rFonts w:ascii="Arial" w:eastAsia="Times New Roman" w:hAnsi="Arial" w:cs="Arial"/>
                      <w:b/>
                      <w:sz w:val="20"/>
                      <w:szCs w:val="20"/>
                      <w:lang w:eastAsia="es-ES"/>
                    </w:rPr>
                  </w:pPr>
                  <w:r w:rsidRPr="009E561D">
                    <w:rPr>
                      <w:rFonts w:ascii="Arial" w:eastAsia="Times New Roman" w:hAnsi="Arial" w:cs="Arial"/>
                      <w:b/>
                      <w:sz w:val="20"/>
                      <w:szCs w:val="20"/>
                      <w:lang w:eastAsia="es-ES"/>
                    </w:rPr>
                    <w:t>Tabla 12 Acciones Realizadas</w:t>
                  </w:r>
                </w:p>
              </w:tc>
            </w:tr>
            <w:tr w:rsidR="009E561D" w:rsidRPr="009E561D" w:rsidTr="00746DC0">
              <w:trPr>
                <w:trHeight w:val="825"/>
              </w:trPr>
              <w:tc>
                <w:tcPr>
                  <w:tcW w:w="2358" w:type="pct"/>
                  <w:shd w:val="clear" w:color="auto" w:fill="auto"/>
                  <w:hideMark/>
                </w:tcPr>
                <w:p w:rsidR="009E561D" w:rsidRPr="009E561D" w:rsidRDefault="009E561D" w:rsidP="009E561D">
                  <w:pPr>
                    <w:spacing w:after="0" w:line="240" w:lineRule="auto"/>
                    <w:jc w:val="both"/>
                    <w:rPr>
                      <w:rFonts w:ascii="Arial" w:eastAsia="Times New Roman" w:hAnsi="Arial" w:cs="Arial"/>
                      <w:b/>
                      <w:sz w:val="20"/>
                      <w:szCs w:val="20"/>
                      <w:lang w:eastAsia="es-ES"/>
                    </w:rPr>
                  </w:pPr>
                  <w:r w:rsidRPr="009E561D">
                    <w:rPr>
                      <w:rFonts w:ascii="Arial" w:eastAsia="Times New Roman" w:hAnsi="Arial" w:cs="Arial"/>
                      <w:b/>
                      <w:sz w:val="20"/>
                      <w:szCs w:val="20"/>
                      <w:lang w:eastAsia="es-ES"/>
                    </w:rPr>
                    <w:t>a) Actividades realizadas:</w:t>
                  </w:r>
                </w:p>
                <w:p w:rsidR="009E561D" w:rsidRPr="009E561D" w:rsidRDefault="009E561D" w:rsidP="009E561D">
                  <w:pPr>
                    <w:spacing w:after="0" w:line="240" w:lineRule="auto"/>
                    <w:jc w:val="both"/>
                    <w:rPr>
                      <w:rFonts w:ascii="Arial" w:eastAsia="Times New Roman" w:hAnsi="Arial" w:cs="Arial"/>
                      <w:b/>
                      <w:sz w:val="20"/>
                      <w:szCs w:val="20"/>
                      <w:lang w:eastAsia="es-ES"/>
                    </w:rPr>
                  </w:pPr>
                </w:p>
                <w:p w:rsidR="009E561D" w:rsidRPr="009E561D" w:rsidRDefault="009E561D" w:rsidP="009E561D">
                  <w:pPr>
                    <w:spacing w:after="0" w:line="240" w:lineRule="auto"/>
                    <w:jc w:val="both"/>
                    <w:rPr>
                      <w:rFonts w:ascii="Arial" w:eastAsia="Times New Roman" w:hAnsi="Arial" w:cs="Arial"/>
                      <w:b/>
                      <w:sz w:val="20"/>
                      <w:szCs w:val="20"/>
                      <w:lang w:eastAsia="es-ES"/>
                    </w:rPr>
                  </w:pPr>
                </w:p>
                <w:p w:rsidR="009E561D" w:rsidRPr="009E561D" w:rsidRDefault="009E561D" w:rsidP="009E561D">
                  <w:pPr>
                    <w:spacing w:after="0" w:line="240" w:lineRule="auto"/>
                    <w:jc w:val="both"/>
                    <w:rPr>
                      <w:rFonts w:ascii="Arial" w:eastAsia="Times New Roman" w:hAnsi="Arial" w:cs="Arial"/>
                      <w:b/>
                      <w:sz w:val="20"/>
                      <w:szCs w:val="20"/>
                      <w:lang w:eastAsia="es-ES"/>
                    </w:rPr>
                  </w:pPr>
                </w:p>
                <w:p w:rsidR="009E561D" w:rsidRPr="009E561D" w:rsidRDefault="009E561D" w:rsidP="009E561D">
                  <w:pPr>
                    <w:spacing w:after="0" w:line="240" w:lineRule="auto"/>
                    <w:jc w:val="both"/>
                    <w:rPr>
                      <w:rFonts w:ascii="Arial" w:eastAsia="Times New Roman" w:hAnsi="Arial" w:cs="Arial"/>
                      <w:b/>
                      <w:sz w:val="20"/>
                      <w:szCs w:val="20"/>
                      <w:lang w:eastAsia="es-ES"/>
                    </w:rPr>
                  </w:pPr>
                </w:p>
                <w:p w:rsidR="009E561D" w:rsidRPr="009E561D" w:rsidRDefault="009E561D" w:rsidP="009E561D">
                  <w:pPr>
                    <w:spacing w:after="0" w:line="240" w:lineRule="auto"/>
                    <w:jc w:val="both"/>
                    <w:rPr>
                      <w:rFonts w:ascii="Arial" w:eastAsia="Times New Roman" w:hAnsi="Arial" w:cs="Arial"/>
                      <w:b/>
                      <w:sz w:val="20"/>
                      <w:szCs w:val="20"/>
                      <w:lang w:eastAsia="es-ES"/>
                    </w:rPr>
                  </w:pPr>
                </w:p>
                <w:p w:rsidR="009E561D" w:rsidRPr="009E561D" w:rsidRDefault="009E561D" w:rsidP="009E561D">
                  <w:pPr>
                    <w:spacing w:after="0" w:line="240" w:lineRule="auto"/>
                    <w:jc w:val="both"/>
                    <w:rPr>
                      <w:rFonts w:ascii="Arial" w:eastAsia="Times New Roman" w:hAnsi="Arial" w:cs="Arial"/>
                      <w:b/>
                      <w:sz w:val="20"/>
                      <w:szCs w:val="20"/>
                      <w:lang w:eastAsia="es-ES"/>
                    </w:rPr>
                  </w:pPr>
                </w:p>
                <w:p w:rsidR="009E561D" w:rsidRPr="009E561D" w:rsidRDefault="009E561D" w:rsidP="009E561D">
                  <w:pPr>
                    <w:spacing w:after="0" w:line="240" w:lineRule="auto"/>
                    <w:jc w:val="both"/>
                    <w:rPr>
                      <w:rFonts w:ascii="Arial" w:eastAsia="Times New Roman" w:hAnsi="Arial" w:cs="Arial"/>
                      <w:b/>
                      <w:sz w:val="20"/>
                      <w:szCs w:val="20"/>
                      <w:lang w:eastAsia="es-ES"/>
                    </w:rPr>
                  </w:pPr>
                </w:p>
                <w:p w:rsidR="009E561D" w:rsidRPr="009E561D" w:rsidRDefault="009E561D" w:rsidP="009E561D">
                  <w:pPr>
                    <w:spacing w:after="0" w:line="240" w:lineRule="auto"/>
                    <w:jc w:val="both"/>
                    <w:rPr>
                      <w:rFonts w:ascii="Arial" w:eastAsia="Times New Roman" w:hAnsi="Arial" w:cs="Arial"/>
                      <w:b/>
                      <w:sz w:val="20"/>
                      <w:szCs w:val="20"/>
                      <w:lang w:eastAsia="es-ES"/>
                    </w:rPr>
                  </w:pPr>
                </w:p>
                <w:p w:rsidR="009E561D" w:rsidRPr="009E561D" w:rsidRDefault="009E561D" w:rsidP="009E561D">
                  <w:pPr>
                    <w:spacing w:after="0" w:line="240" w:lineRule="auto"/>
                    <w:jc w:val="both"/>
                    <w:rPr>
                      <w:rFonts w:ascii="Arial" w:eastAsia="Times New Roman" w:hAnsi="Arial" w:cs="Arial"/>
                      <w:b/>
                      <w:sz w:val="20"/>
                      <w:szCs w:val="20"/>
                      <w:lang w:eastAsia="es-ES"/>
                    </w:rPr>
                  </w:pPr>
                </w:p>
                <w:p w:rsidR="009E561D" w:rsidRPr="009E561D" w:rsidRDefault="009E561D" w:rsidP="009E561D">
                  <w:pPr>
                    <w:spacing w:after="0" w:line="240" w:lineRule="auto"/>
                    <w:jc w:val="both"/>
                    <w:rPr>
                      <w:rFonts w:ascii="Arial" w:eastAsia="Times New Roman" w:hAnsi="Arial" w:cs="Arial"/>
                      <w:b/>
                      <w:sz w:val="20"/>
                      <w:szCs w:val="20"/>
                      <w:lang w:eastAsia="es-ES"/>
                    </w:rPr>
                  </w:pPr>
                </w:p>
                <w:p w:rsidR="009E561D" w:rsidRPr="009E561D" w:rsidRDefault="009E561D" w:rsidP="009E561D">
                  <w:pPr>
                    <w:spacing w:after="0" w:line="240" w:lineRule="auto"/>
                    <w:jc w:val="both"/>
                    <w:rPr>
                      <w:rFonts w:ascii="Arial" w:eastAsia="Times New Roman" w:hAnsi="Arial" w:cs="Arial"/>
                      <w:b/>
                      <w:sz w:val="20"/>
                      <w:szCs w:val="20"/>
                      <w:lang w:eastAsia="es-ES"/>
                    </w:rPr>
                  </w:pPr>
                </w:p>
                <w:p w:rsidR="009E561D" w:rsidRPr="009E561D" w:rsidRDefault="009E561D" w:rsidP="009E561D">
                  <w:pPr>
                    <w:spacing w:after="0" w:line="240" w:lineRule="auto"/>
                    <w:jc w:val="both"/>
                    <w:rPr>
                      <w:rFonts w:ascii="Arial" w:eastAsia="Times New Roman" w:hAnsi="Arial" w:cs="Arial"/>
                      <w:b/>
                      <w:sz w:val="20"/>
                      <w:szCs w:val="20"/>
                      <w:lang w:eastAsia="es-ES"/>
                    </w:rPr>
                  </w:pPr>
                </w:p>
                <w:p w:rsidR="009E561D" w:rsidRPr="009E561D" w:rsidRDefault="009E561D" w:rsidP="009E561D">
                  <w:pPr>
                    <w:spacing w:after="0" w:line="240" w:lineRule="auto"/>
                    <w:jc w:val="both"/>
                    <w:rPr>
                      <w:rFonts w:ascii="Arial" w:eastAsia="Times New Roman" w:hAnsi="Arial" w:cs="Arial"/>
                      <w:b/>
                      <w:sz w:val="20"/>
                      <w:szCs w:val="20"/>
                      <w:lang w:eastAsia="es-ES"/>
                    </w:rPr>
                  </w:pPr>
                </w:p>
                <w:p w:rsidR="009E561D" w:rsidRPr="009E561D" w:rsidRDefault="009E561D" w:rsidP="009E561D">
                  <w:pPr>
                    <w:spacing w:after="0" w:line="240" w:lineRule="auto"/>
                    <w:jc w:val="both"/>
                    <w:rPr>
                      <w:rFonts w:ascii="Arial" w:eastAsia="Times New Roman" w:hAnsi="Arial" w:cs="Arial"/>
                      <w:b/>
                      <w:sz w:val="20"/>
                      <w:szCs w:val="20"/>
                      <w:lang w:eastAsia="es-ES"/>
                    </w:rPr>
                  </w:pPr>
                </w:p>
                <w:p w:rsidR="009E561D" w:rsidRPr="009E561D" w:rsidRDefault="009E561D" w:rsidP="009E561D">
                  <w:pPr>
                    <w:spacing w:after="0" w:line="240" w:lineRule="auto"/>
                    <w:jc w:val="both"/>
                    <w:rPr>
                      <w:rFonts w:ascii="Arial" w:eastAsia="Times New Roman" w:hAnsi="Arial" w:cs="Arial"/>
                      <w:b/>
                      <w:sz w:val="20"/>
                      <w:szCs w:val="20"/>
                      <w:lang w:eastAsia="es-ES"/>
                    </w:rPr>
                  </w:pPr>
                </w:p>
                <w:p w:rsidR="009E561D" w:rsidRPr="009E561D" w:rsidRDefault="009E561D" w:rsidP="009E561D">
                  <w:pPr>
                    <w:spacing w:after="0" w:line="240" w:lineRule="auto"/>
                    <w:jc w:val="both"/>
                    <w:rPr>
                      <w:rFonts w:ascii="Arial" w:eastAsia="Times New Roman" w:hAnsi="Arial" w:cs="Arial"/>
                      <w:b/>
                      <w:sz w:val="20"/>
                      <w:szCs w:val="20"/>
                      <w:lang w:eastAsia="es-ES"/>
                    </w:rPr>
                  </w:pPr>
                </w:p>
                <w:p w:rsidR="009E561D" w:rsidRPr="009E561D" w:rsidRDefault="009E561D" w:rsidP="009E561D">
                  <w:pPr>
                    <w:spacing w:after="0" w:line="240" w:lineRule="auto"/>
                    <w:jc w:val="both"/>
                    <w:rPr>
                      <w:rFonts w:ascii="Arial" w:eastAsia="Times New Roman" w:hAnsi="Arial" w:cs="Arial"/>
                      <w:b/>
                      <w:sz w:val="20"/>
                      <w:szCs w:val="20"/>
                      <w:lang w:eastAsia="es-ES"/>
                    </w:rPr>
                  </w:pPr>
                </w:p>
                <w:p w:rsidR="009E561D" w:rsidRPr="009E561D" w:rsidRDefault="009E561D" w:rsidP="009E561D">
                  <w:pPr>
                    <w:spacing w:after="0" w:line="240" w:lineRule="auto"/>
                    <w:jc w:val="both"/>
                    <w:rPr>
                      <w:rFonts w:ascii="Arial" w:eastAsia="Times New Roman" w:hAnsi="Arial" w:cs="Arial"/>
                      <w:b/>
                      <w:sz w:val="20"/>
                      <w:szCs w:val="20"/>
                      <w:lang w:eastAsia="es-ES"/>
                    </w:rPr>
                  </w:pPr>
                </w:p>
              </w:tc>
              <w:tc>
                <w:tcPr>
                  <w:tcW w:w="2642" w:type="pct"/>
                  <w:shd w:val="clear" w:color="auto" w:fill="auto"/>
                </w:tcPr>
                <w:p w:rsidR="009E561D" w:rsidRPr="009E561D" w:rsidRDefault="009E561D" w:rsidP="009E561D">
                  <w:pPr>
                    <w:spacing w:after="0" w:line="240" w:lineRule="auto"/>
                    <w:jc w:val="both"/>
                    <w:rPr>
                      <w:rFonts w:ascii="Arial" w:eastAsia="Times New Roman" w:hAnsi="Arial" w:cs="Arial"/>
                      <w:sz w:val="20"/>
                      <w:szCs w:val="20"/>
                      <w:lang w:eastAsia="es-ES"/>
                    </w:rPr>
                  </w:pPr>
                  <w:r w:rsidRPr="009E561D">
                    <w:rPr>
                      <w:rFonts w:ascii="Arial" w:eastAsia="Times New Roman" w:hAnsi="Arial" w:cs="Arial"/>
                      <w:sz w:val="20"/>
                      <w:szCs w:val="20"/>
                      <w:lang w:eastAsia="es-ES"/>
                    </w:rPr>
                    <w:t xml:space="preserve">1) Reglamento de Renovación Urbana </w:t>
                  </w:r>
                </w:p>
                <w:p w:rsidR="009E561D" w:rsidRPr="009E561D" w:rsidRDefault="009E561D" w:rsidP="009E561D">
                  <w:pPr>
                    <w:spacing w:after="0" w:line="240" w:lineRule="auto"/>
                    <w:jc w:val="both"/>
                    <w:rPr>
                      <w:rFonts w:ascii="Arial" w:eastAsia="Times New Roman" w:hAnsi="Arial" w:cs="Arial"/>
                      <w:sz w:val="20"/>
                      <w:szCs w:val="20"/>
                      <w:lang w:eastAsia="es-ES"/>
                    </w:rPr>
                  </w:pPr>
                  <w:r w:rsidRPr="009E561D">
                    <w:rPr>
                      <w:rFonts w:ascii="Arial" w:eastAsia="Times New Roman" w:hAnsi="Arial" w:cs="Arial"/>
                      <w:sz w:val="20"/>
                      <w:szCs w:val="20"/>
                      <w:lang w:eastAsia="es-ES"/>
                    </w:rPr>
                    <w:t>- Se finalizó el reglamento, se aprobó por Junta Directiva y se envió a publicar en La Gaceta N°103, de fecha 01 de setiembre 2017.</w:t>
                  </w:r>
                </w:p>
                <w:p w:rsidR="009E561D" w:rsidRPr="009E561D" w:rsidRDefault="009E561D" w:rsidP="009E561D">
                  <w:pPr>
                    <w:spacing w:after="0" w:line="240" w:lineRule="auto"/>
                    <w:jc w:val="both"/>
                    <w:rPr>
                      <w:rFonts w:ascii="Arial" w:eastAsia="Times New Roman" w:hAnsi="Arial" w:cs="Arial"/>
                      <w:sz w:val="20"/>
                      <w:szCs w:val="20"/>
                      <w:lang w:eastAsia="es-ES"/>
                    </w:rPr>
                  </w:pPr>
                  <w:r w:rsidRPr="009E561D">
                    <w:rPr>
                      <w:rFonts w:ascii="Arial" w:eastAsia="Times New Roman" w:hAnsi="Arial" w:cs="Arial"/>
                      <w:sz w:val="20"/>
                      <w:szCs w:val="20"/>
                      <w:lang w:eastAsia="es-ES"/>
                    </w:rPr>
                    <w:t>- Se entregó el reglamento a los representantes de las municipalidades que asistieron a los talleres y a los asistentes de los foros organizados sobre este tema.</w:t>
                  </w:r>
                </w:p>
                <w:p w:rsidR="009E561D" w:rsidRPr="009E561D" w:rsidRDefault="009E561D" w:rsidP="009E561D">
                  <w:pPr>
                    <w:spacing w:after="0" w:line="240" w:lineRule="auto"/>
                    <w:jc w:val="both"/>
                    <w:rPr>
                      <w:rFonts w:ascii="Arial" w:eastAsia="Times New Roman" w:hAnsi="Arial" w:cs="Arial"/>
                      <w:sz w:val="20"/>
                      <w:szCs w:val="20"/>
                      <w:lang w:eastAsia="es-ES"/>
                    </w:rPr>
                  </w:pPr>
                  <w:r w:rsidRPr="009E561D">
                    <w:rPr>
                      <w:rFonts w:ascii="Arial" w:eastAsia="Times New Roman" w:hAnsi="Arial" w:cs="Arial"/>
                      <w:sz w:val="20"/>
                      <w:szCs w:val="20"/>
                      <w:lang w:eastAsia="es-ES"/>
                    </w:rPr>
                    <w:t>2) Reglamento de Construcciones</w:t>
                  </w:r>
                </w:p>
                <w:p w:rsidR="009E561D" w:rsidRPr="009E561D" w:rsidRDefault="009E561D" w:rsidP="009E561D">
                  <w:pPr>
                    <w:spacing w:after="0" w:line="240" w:lineRule="auto"/>
                    <w:jc w:val="both"/>
                    <w:rPr>
                      <w:rFonts w:ascii="Arial" w:eastAsia="Times New Roman" w:hAnsi="Arial" w:cs="Arial"/>
                      <w:sz w:val="20"/>
                      <w:szCs w:val="20"/>
                      <w:lang w:eastAsia="es-ES"/>
                    </w:rPr>
                  </w:pPr>
                  <w:r w:rsidRPr="009E561D">
                    <w:rPr>
                      <w:rFonts w:ascii="Arial" w:eastAsia="Times New Roman" w:hAnsi="Arial" w:cs="Arial"/>
                      <w:sz w:val="20"/>
                      <w:szCs w:val="20"/>
                      <w:lang w:eastAsia="es-ES"/>
                    </w:rPr>
                    <w:t>- Se incorporaron las observaciones de la consulta pública preliminar de algunas entidades.</w:t>
                  </w:r>
                </w:p>
                <w:p w:rsidR="009E561D" w:rsidRPr="009E561D" w:rsidRDefault="009E561D" w:rsidP="009E561D">
                  <w:pPr>
                    <w:spacing w:after="0" w:line="240" w:lineRule="auto"/>
                    <w:jc w:val="both"/>
                    <w:rPr>
                      <w:rFonts w:ascii="Arial" w:eastAsia="Times New Roman" w:hAnsi="Arial" w:cs="Arial"/>
                      <w:sz w:val="20"/>
                      <w:szCs w:val="20"/>
                      <w:lang w:eastAsia="es-ES"/>
                    </w:rPr>
                  </w:pPr>
                  <w:r w:rsidRPr="009E561D">
                    <w:rPr>
                      <w:rFonts w:ascii="Arial" w:eastAsia="Times New Roman" w:hAnsi="Arial" w:cs="Arial"/>
                      <w:sz w:val="20"/>
                      <w:szCs w:val="20"/>
                      <w:lang w:eastAsia="es-ES"/>
                    </w:rPr>
                    <w:t>- Se presentó el reglamento ante  la Junta Directiva de INVU y ante la Comisión Interinstitucional de Planos de Construcción.</w:t>
                  </w:r>
                </w:p>
                <w:p w:rsidR="009E561D" w:rsidRPr="009E561D" w:rsidRDefault="009E561D" w:rsidP="009E561D">
                  <w:pPr>
                    <w:spacing w:after="0" w:line="240" w:lineRule="auto"/>
                    <w:jc w:val="both"/>
                    <w:rPr>
                      <w:rFonts w:ascii="Arial" w:eastAsia="Times New Roman" w:hAnsi="Arial" w:cs="Arial"/>
                      <w:sz w:val="20"/>
                      <w:szCs w:val="20"/>
                      <w:lang w:eastAsia="es-ES"/>
                    </w:rPr>
                  </w:pPr>
                  <w:r w:rsidRPr="009E561D">
                    <w:rPr>
                      <w:rFonts w:ascii="Arial" w:eastAsia="Times New Roman" w:hAnsi="Arial" w:cs="Arial"/>
                      <w:sz w:val="20"/>
                      <w:szCs w:val="20"/>
                      <w:lang w:eastAsia="es-ES"/>
                    </w:rPr>
                    <w:t>- Se realizó la consulta pública del reglamento.</w:t>
                  </w:r>
                </w:p>
                <w:p w:rsidR="009E561D" w:rsidRPr="009E561D" w:rsidRDefault="009E561D" w:rsidP="009E561D">
                  <w:pPr>
                    <w:spacing w:after="0" w:line="240" w:lineRule="auto"/>
                    <w:jc w:val="both"/>
                    <w:rPr>
                      <w:rFonts w:ascii="Arial" w:eastAsia="Times New Roman" w:hAnsi="Arial" w:cs="Arial"/>
                      <w:sz w:val="20"/>
                      <w:szCs w:val="20"/>
                      <w:lang w:eastAsia="es-ES"/>
                    </w:rPr>
                  </w:pPr>
                  <w:r w:rsidRPr="009E561D">
                    <w:rPr>
                      <w:rFonts w:ascii="Arial" w:eastAsia="Times New Roman" w:hAnsi="Arial" w:cs="Arial"/>
                      <w:sz w:val="20"/>
                      <w:szCs w:val="20"/>
                      <w:lang w:eastAsia="es-ES"/>
                    </w:rPr>
                    <w:t xml:space="preserve">- Se encuentra en proceso la incorporación de las observaciones que proceden de la consulta pública. </w:t>
                  </w:r>
                </w:p>
                <w:p w:rsidR="009E561D" w:rsidRPr="009E561D" w:rsidRDefault="009E561D" w:rsidP="009E561D">
                  <w:pPr>
                    <w:spacing w:after="0" w:line="240" w:lineRule="auto"/>
                    <w:jc w:val="both"/>
                    <w:rPr>
                      <w:rFonts w:ascii="Arial" w:eastAsia="Times New Roman" w:hAnsi="Arial" w:cs="Arial"/>
                      <w:sz w:val="20"/>
                      <w:szCs w:val="20"/>
                      <w:lang w:eastAsia="es-ES"/>
                    </w:rPr>
                  </w:pPr>
                  <w:r w:rsidRPr="009E561D">
                    <w:rPr>
                      <w:rFonts w:ascii="Arial" w:eastAsia="Times New Roman" w:hAnsi="Arial" w:cs="Arial"/>
                      <w:sz w:val="20"/>
                      <w:szCs w:val="20"/>
                      <w:lang w:eastAsia="es-ES"/>
                    </w:rPr>
                    <w:t xml:space="preserve">Esta actividad se realiza en forma conjunta con la Presidencia Ejecutiva. </w:t>
                  </w:r>
                </w:p>
                <w:p w:rsidR="009E561D" w:rsidRPr="009E561D" w:rsidRDefault="009E561D" w:rsidP="009E561D">
                  <w:pPr>
                    <w:spacing w:after="0" w:line="240" w:lineRule="auto"/>
                    <w:jc w:val="both"/>
                    <w:rPr>
                      <w:rFonts w:ascii="Arial" w:eastAsia="Times New Roman" w:hAnsi="Arial" w:cs="Arial"/>
                      <w:sz w:val="20"/>
                      <w:szCs w:val="20"/>
                      <w:lang w:eastAsia="es-ES"/>
                    </w:rPr>
                  </w:pPr>
                  <w:r w:rsidRPr="009E561D">
                    <w:rPr>
                      <w:rFonts w:ascii="Arial" w:eastAsia="Times New Roman" w:hAnsi="Arial" w:cs="Arial"/>
                      <w:sz w:val="20"/>
                      <w:szCs w:val="20"/>
                      <w:lang w:eastAsia="es-ES"/>
                    </w:rPr>
                    <w:t xml:space="preserve">3) Reglamento de Condominios: </w:t>
                  </w:r>
                </w:p>
                <w:p w:rsidR="009E561D" w:rsidRPr="009E561D" w:rsidRDefault="009E561D" w:rsidP="009E561D">
                  <w:pPr>
                    <w:spacing w:after="0" w:line="240" w:lineRule="auto"/>
                    <w:jc w:val="both"/>
                    <w:rPr>
                      <w:rFonts w:ascii="Arial" w:eastAsia="Times New Roman" w:hAnsi="Arial" w:cs="Arial"/>
                      <w:sz w:val="20"/>
                      <w:szCs w:val="20"/>
                      <w:lang w:eastAsia="es-ES"/>
                    </w:rPr>
                  </w:pPr>
                  <w:r w:rsidRPr="009E561D">
                    <w:rPr>
                      <w:rFonts w:ascii="Arial" w:eastAsia="Times New Roman" w:hAnsi="Arial" w:cs="Arial"/>
                      <w:sz w:val="20"/>
                      <w:szCs w:val="20"/>
                      <w:lang w:eastAsia="es-ES"/>
                    </w:rPr>
                    <w:t xml:space="preserve">- Se colaboró con el MIVAH en la incorporación de las observaciones que proceden de la consulta pública. </w:t>
                  </w:r>
                </w:p>
                <w:p w:rsidR="009E561D" w:rsidRPr="009E561D" w:rsidRDefault="009E561D" w:rsidP="009E561D">
                  <w:pPr>
                    <w:spacing w:after="0" w:line="240" w:lineRule="auto"/>
                    <w:jc w:val="both"/>
                    <w:rPr>
                      <w:rFonts w:ascii="Arial" w:eastAsia="Times New Roman" w:hAnsi="Arial" w:cs="Arial"/>
                      <w:sz w:val="20"/>
                      <w:szCs w:val="20"/>
                      <w:lang w:eastAsia="es-ES"/>
                    </w:rPr>
                  </w:pPr>
                  <w:r w:rsidRPr="009E561D">
                    <w:rPr>
                      <w:rFonts w:ascii="Arial" w:eastAsia="Times New Roman" w:hAnsi="Arial" w:cs="Arial"/>
                      <w:sz w:val="20"/>
                      <w:szCs w:val="20"/>
                      <w:lang w:eastAsia="es-ES"/>
                    </w:rPr>
                    <w:t>Nota: Esta actividad se realizó a solicitud del MIVAH, ya que este reglamento es competencia de esa institución.</w:t>
                  </w:r>
                </w:p>
                <w:p w:rsidR="009E561D" w:rsidRPr="009E561D" w:rsidRDefault="009E561D" w:rsidP="009E561D">
                  <w:pPr>
                    <w:spacing w:after="0" w:line="240" w:lineRule="auto"/>
                    <w:jc w:val="both"/>
                    <w:rPr>
                      <w:rFonts w:ascii="Arial" w:eastAsia="Times New Roman" w:hAnsi="Arial" w:cs="Arial"/>
                      <w:sz w:val="20"/>
                      <w:szCs w:val="20"/>
                      <w:lang w:eastAsia="es-ES"/>
                    </w:rPr>
                  </w:pPr>
                  <w:r w:rsidRPr="009E561D">
                    <w:rPr>
                      <w:rFonts w:ascii="Arial" w:eastAsia="Times New Roman" w:hAnsi="Arial" w:cs="Arial"/>
                      <w:sz w:val="20"/>
                      <w:szCs w:val="20"/>
                      <w:lang w:eastAsia="es-ES"/>
                    </w:rPr>
                    <w:t>4) Manual de Planes Reguladores de Ordenamiento Territorial Local</w:t>
                  </w:r>
                </w:p>
                <w:p w:rsidR="009E561D" w:rsidRPr="009E561D" w:rsidRDefault="009E561D" w:rsidP="009E561D">
                  <w:pPr>
                    <w:spacing w:after="0" w:line="240" w:lineRule="auto"/>
                    <w:jc w:val="both"/>
                    <w:rPr>
                      <w:rFonts w:ascii="Arial" w:eastAsia="Times New Roman" w:hAnsi="Arial" w:cs="Arial"/>
                      <w:sz w:val="20"/>
                      <w:szCs w:val="20"/>
                      <w:lang w:eastAsia="es-ES"/>
                    </w:rPr>
                  </w:pPr>
                  <w:r w:rsidRPr="009E561D">
                    <w:rPr>
                      <w:rFonts w:ascii="Arial" w:eastAsia="Times New Roman" w:hAnsi="Arial" w:cs="Arial"/>
                      <w:sz w:val="20"/>
                      <w:szCs w:val="20"/>
                      <w:lang w:eastAsia="es-ES"/>
                    </w:rPr>
                    <w:t xml:space="preserve">- Se realizaron talleres con municipalidades, se </w:t>
                  </w:r>
                  <w:r w:rsidRPr="009E561D">
                    <w:rPr>
                      <w:rFonts w:ascii="Arial" w:eastAsia="Times New Roman" w:hAnsi="Arial" w:cs="Arial"/>
                      <w:sz w:val="20"/>
                      <w:szCs w:val="20"/>
                      <w:lang w:eastAsia="es-ES"/>
                    </w:rPr>
                    <w:lastRenderedPageBreak/>
                    <w:t xml:space="preserve">recopilaron las observaciones e integraron en una matriz. </w:t>
                  </w:r>
                </w:p>
                <w:p w:rsidR="009E561D" w:rsidRPr="009E561D" w:rsidRDefault="009E561D" w:rsidP="009E561D">
                  <w:pPr>
                    <w:spacing w:after="0" w:line="240" w:lineRule="auto"/>
                    <w:jc w:val="both"/>
                    <w:rPr>
                      <w:rFonts w:ascii="Arial" w:eastAsia="Times New Roman" w:hAnsi="Arial" w:cs="Arial"/>
                      <w:sz w:val="20"/>
                      <w:szCs w:val="20"/>
                      <w:lang w:eastAsia="es-ES"/>
                    </w:rPr>
                  </w:pPr>
                  <w:r w:rsidRPr="009E561D">
                    <w:rPr>
                      <w:rFonts w:ascii="Arial" w:eastAsia="Times New Roman" w:hAnsi="Arial" w:cs="Arial"/>
                      <w:sz w:val="20"/>
                      <w:szCs w:val="20"/>
                      <w:lang w:eastAsia="es-ES"/>
                    </w:rPr>
                    <w:t xml:space="preserve">- Se finalizó por parte de la comisión integrada por funcionarios de la Unidad de Criterios Técnicos y Operativos de Ordenamiento Territorial (UCTOOT) y la Unidad de Asesoría y Capacitación (UAC), la inclusión de las observaciones y elaboración del documento final. </w:t>
                  </w:r>
                </w:p>
                <w:p w:rsidR="009E561D" w:rsidRPr="009E561D" w:rsidRDefault="009E561D" w:rsidP="009E561D">
                  <w:pPr>
                    <w:spacing w:after="0" w:line="240" w:lineRule="auto"/>
                    <w:jc w:val="both"/>
                    <w:rPr>
                      <w:rFonts w:ascii="Arial" w:eastAsia="Times New Roman" w:hAnsi="Arial" w:cs="Arial"/>
                      <w:sz w:val="20"/>
                      <w:szCs w:val="20"/>
                      <w:lang w:eastAsia="es-ES"/>
                    </w:rPr>
                  </w:pPr>
                  <w:r w:rsidRPr="009E561D">
                    <w:rPr>
                      <w:rFonts w:ascii="Arial" w:eastAsia="Times New Roman" w:hAnsi="Arial" w:cs="Arial"/>
                      <w:sz w:val="20"/>
                      <w:szCs w:val="20"/>
                      <w:lang w:eastAsia="es-ES"/>
                    </w:rPr>
                    <w:t>- Se presentó en Junta Directiva y fue aprobado en sesión extraordinaria Nº6295, Artículo único, del 12 de diciembre 2017.</w:t>
                  </w:r>
                </w:p>
                <w:p w:rsidR="009E561D" w:rsidRPr="009E561D" w:rsidRDefault="009E561D" w:rsidP="009E561D">
                  <w:pPr>
                    <w:spacing w:after="0" w:line="240" w:lineRule="auto"/>
                    <w:jc w:val="both"/>
                    <w:rPr>
                      <w:rFonts w:ascii="Arial" w:eastAsia="Times New Roman" w:hAnsi="Arial" w:cs="Arial"/>
                      <w:sz w:val="20"/>
                      <w:szCs w:val="20"/>
                      <w:lang w:eastAsia="es-ES"/>
                    </w:rPr>
                  </w:pPr>
                  <w:r w:rsidRPr="009E561D">
                    <w:rPr>
                      <w:rFonts w:ascii="Arial" w:eastAsia="Times New Roman" w:hAnsi="Arial" w:cs="Arial"/>
                      <w:sz w:val="20"/>
                      <w:szCs w:val="20"/>
                      <w:lang w:eastAsia="es-ES"/>
                    </w:rPr>
                    <w:t>- Se iniciaron los trámites para la publicación en el diario oficial La Gaceta.</w:t>
                  </w:r>
                </w:p>
                <w:p w:rsidR="009E561D" w:rsidRPr="009E561D" w:rsidRDefault="009E561D" w:rsidP="009E561D">
                  <w:pPr>
                    <w:spacing w:after="0" w:line="240" w:lineRule="auto"/>
                    <w:jc w:val="both"/>
                    <w:rPr>
                      <w:rFonts w:ascii="Arial" w:eastAsia="Times New Roman" w:hAnsi="Arial" w:cs="Arial"/>
                      <w:sz w:val="20"/>
                      <w:szCs w:val="20"/>
                      <w:lang w:eastAsia="es-ES"/>
                    </w:rPr>
                  </w:pPr>
                  <w:r w:rsidRPr="009E561D">
                    <w:rPr>
                      <w:rFonts w:ascii="Arial" w:eastAsia="Times New Roman" w:hAnsi="Arial" w:cs="Arial"/>
                      <w:sz w:val="20"/>
                      <w:szCs w:val="20"/>
                      <w:lang w:eastAsia="es-ES"/>
                    </w:rPr>
                    <w:t>Nota: El nombre oficial es Manual de Planes Reguladores como Instrumento de Ordenamiento Territorial.</w:t>
                  </w:r>
                </w:p>
                <w:p w:rsidR="009E561D" w:rsidRPr="009E561D" w:rsidRDefault="009E561D" w:rsidP="009E561D">
                  <w:pPr>
                    <w:spacing w:after="0" w:line="240" w:lineRule="auto"/>
                    <w:jc w:val="both"/>
                    <w:rPr>
                      <w:rFonts w:ascii="Arial" w:eastAsia="Times New Roman" w:hAnsi="Arial" w:cs="Arial"/>
                      <w:sz w:val="20"/>
                      <w:szCs w:val="20"/>
                      <w:lang w:eastAsia="es-ES"/>
                    </w:rPr>
                  </w:pPr>
                  <w:r w:rsidRPr="009E561D">
                    <w:rPr>
                      <w:rFonts w:ascii="Arial" w:eastAsia="Times New Roman" w:hAnsi="Arial" w:cs="Arial"/>
                      <w:sz w:val="20"/>
                      <w:szCs w:val="20"/>
                      <w:lang w:eastAsia="es-ES"/>
                    </w:rPr>
                    <w:t>5) Reglamento para El Control Nacional de Fraccionamientos y Urbanizaciones (RCNFU)</w:t>
                  </w:r>
                </w:p>
                <w:p w:rsidR="009E561D" w:rsidRPr="009E561D" w:rsidRDefault="009E561D" w:rsidP="009E561D">
                  <w:pPr>
                    <w:spacing w:after="0" w:line="240" w:lineRule="auto"/>
                    <w:jc w:val="both"/>
                    <w:rPr>
                      <w:rFonts w:ascii="Arial" w:eastAsia="Times New Roman" w:hAnsi="Arial" w:cs="Arial"/>
                      <w:sz w:val="20"/>
                      <w:szCs w:val="20"/>
                      <w:lang w:eastAsia="es-ES"/>
                    </w:rPr>
                  </w:pPr>
                  <w:r w:rsidRPr="009E561D">
                    <w:rPr>
                      <w:rFonts w:ascii="Arial" w:eastAsia="Times New Roman" w:hAnsi="Arial" w:cs="Arial"/>
                      <w:sz w:val="20"/>
                      <w:szCs w:val="20"/>
                      <w:lang w:eastAsia="es-ES"/>
                    </w:rPr>
                    <w:t>- Se actualizó el reglamento con las observaciones de los funcionarios de INVU y se encuentra en proceso la revisión, por parte de la Dirección de Urbanismo y Vivienda.</w:t>
                  </w:r>
                </w:p>
                <w:p w:rsidR="009E561D" w:rsidRPr="009E561D" w:rsidRDefault="009E561D" w:rsidP="009E561D">
                  <w:pPr>
                    <w:spacing w:after="0" w:line="240" w:lineRule="auto"/>
                    <w:jc w:val="both"/>
                    <w:rPr>
                      <w:rFonts w:ascii="Arial" w:eastAsia="Times New Roman" w:hAnsi="Arial" w:cs="Arial"/>
                      <w:sz w:val="20"/>
                      <w:szCs w:val="20"/>
                      <w:lang w:eastAsia="es-ES"/>
                    </w:rPr>
                  </w:pPr>
                </w:p>
              </w:tc>
            </w:tr>
            <w:tr w:rsidR="009E561D" w:rsidRPr="009E561D" w:rsidTr="00746DC0">
              <w:trPr>
                <w:trHeight w:val="388"/>
              </w:trPr>
              <w:tc>
                <w:tcPr>
                  <w:tcW w:w="2358" w:type="pct"/>
                  <w:shd w:val="clear" w:color="auto" w:fill="auto"/>
                  <w:hideMark/>
                </w:tcPr>
                <w:p w:rsidR="009E561D" w:rsidRPr="009E561D" w:rsidRDefault="009E561D" w:rsidP="009E561D">
                  <w:pPr>
                    <w:spacing w:after="0" w:line="240" w:lineRule="auto"/>
                    <w:jc w:val="both"/>
                    <w:rPr>
                      <w:rFonts w:ascii="Arial" w:eastAsia="Times New Roman" w:hAnsi="Arial" w:cs="Arial"/>
                      <w:b/>
                      <w:sz w:val="20"/>
                      <w:szCs w:val="20"/>
                      <w:lang w:eastAsia="es-ES"/>
                    </w:rPr>
                  </w:pPr>
                  <w:r w:rsidRPr="009E561D">
                    <w:rPr>
                      <w:rFonts w:ascii="Arial" w:eastAsia="Times New Roman" w:hAnsi="Arial" w:cs="Arial"/>
                      <w:b/>
                      <w:sz w:val="20"/>
                      <w:szCs w:val="20"/>
                      <w:lang w:eastAsia="es-ES"/>
                    </w:rPr>
                    <w:t xml:space="preserve">b) Limitaciones: </w:t>
                  </w:r>
                </w:p>
                <w:p w:rsidR="009E561D" w:rsidRPr="009E561D" w:rsidRDefault="009E561D" w:rsidP="009E561D">
                  <w:pPr>
                    <w:spacing w:after="0" w:line="240" w:lineRule="auto"/>
                    <w:jc w:val="both"/>
                    <w:rPr>
                      <w:rFonts w:ascii="Arial" w:eastAsia="Times New Roman" w:hAnsi="Arial" w:cs="Arial"/>
                      <w:b/>
                      <w:sz w:val="20"/>
                      <w:szCs w:val="20"/>
                      <w:lang w:eastAsia="es-ES"/>
                    </w:rPr>
                  </w:pPr>
                </w:p>
              </w:tc>
              <w:tc>
                <w:tcPr>
                  <w:tcW w:w="2642" w:type="pct"/>
                  <w:shd w:val="clear" w:color="auto" w:fill="auto"/>
                </w:tcPr>
                <w:p w:rsidR="009E561D" w:rsidRPr="009E561D" w:rsidRDefault="009E561D" w:rsidP="009E561D">
                  <w:pPr>
                    <w:spacing w:after="0" w:line="240" w:lineRule="auto"/>
                    <w:jc w:val="both"/>
                    <w:rPr>
                      <w:rFonts w:ascii="Arial" w:eastAsia="Times New Roman" w:hAnsi="Arial" w:cs="Arial"/>
                      <w:b/>
                      <w:sz w:val="20"/>
                      <w:szCs w:val="20"/>
                      <w:lang w:eastAsia="es-ES"/>
                    </w:rPr>
                  </w:pPr>
                </w:p>
              </w:tc>
            </w:tr>
            <w:tr w:rsidR="009E561D" w:rsidRPr="009E561D" w:rsidTr="00746DC0">
              <w:trPr>
                <w:trHeight w:val="755"/>
              </w:trPr>
              <w:tc>
                <w:tcPr>
                  <w:tcW w:w="2358" w:type="pct"/>
                  <w:shd w:val="clear" w:color="auto" w:fill="auto"/>
                  <w:hideMark/>
                </w:tcPr>
                <w:p w:rsidR="009E561D" w:rsidRPr="009E561D" w:rsidRDefault="009E561D" w:rsidP="009E561D">
                  <w:pPr>
                    <w:spacing w:after="0" w:line="240" w:lineRule="auto"/>
                    <w:jc w:val="both"/>
                    <w:rPr>
                      <w:rFonts w:ascii="Arial" w:eastAsia="Times New Roman" w:hAnsi="Arial" w:cs="Arial"/>
                      <w:b/>
                      <w:sz w:val="20"/>
                      <w:szCs w:val="20"/>
                      <w:lang w:eastAsia="es-ES"/>
                    </w:rPr>
                  </w:pPr>
                  <w:r w:rsidRPr="009E561D">
                    <w:rPr>
                      <w:rFonts w:ascii="Arial" w:eastAsia="Times New Roman" w:hAnsi="Arial" w:cs="Arial"/>
                      <w:b/>
                      <w:sz w:val="20"/>
                      <w:szCs w:val="20"/>
                      <w:lang w:eastAsia="es-ES"/>
                    </w:rPr>
                    <w:t>c) Medidas correctivas o acciones de mejora (realizadas y por realizar) para el logro de la meta:</w:t>
                  </w:r>
                </w:p>
              </w:tc>
              <w:tc>
                <w:tcPr>
                  <w:tcW w:w="2642" w:type="pct"/>
                  <w:shd w:val="clear" w:color="auto" w:fill="auto"/>
                </w:tcPr>
                <w:p w:rsidR="009E561D" w:rsidRPr="009E561D" w:rsidRDefault="009E561D" w:rsidP="009E561D">
                  <w:pPr>
                    <w:spacing w:after="0" w:line="240" w:lineRule="auto"/>
                    <w:jc w:val="both"/>
                    <w:rPr>
                      <w:rFonts w:ascii="Arial" w:eastAsia="Times New Roman" w:hAnsi="Arial" w:cs="Arial"/>
                      <w:b/>
                      <w:sz w:val="20"/>
                      <w:szCs w:val="20"/>
                      <w:lang w:eastAsia="es-ES"/>
                    </w:rPr>
                  </w:pPr>
                </w:p>
              </w:tc>
            </w:tr>
            <w:tr w:rsidR="009E561D" w:rsidRPr="009E561D" w:rsidTr="00746DC0">
              <w:trPr>
                <w:trHeight w:val="825"/>
              </w:trPr>
              <w:tc>
                <w:tcPr>
                  <w:tcW w:w="2358" w:type="pct"/>
                  <w:shd w:val="clear" w:color="auto" w:fill="auto"/>
                  <w:hideMark/>
                </w:tcPr>
                <w:p w:rsidR="009E561D" w:rsidRPr="009E561D" w:rsidRDefault="009E561D" w:rsidP="009E561D">
                  <w:pPr>
                    <w:spacing w:after="0" w:line="240" w:lineRule="auto"/>
                    <w:jc w:val="both"/>
                    <w:rPr>
                      <w:rFonts w:ascii="Arial" w:eastAsia="Times New Roman" w:hAnsi="Arial" w:cs="Arial"/>
                      <w:b/>
                      <w:sz w:val="20"/>
                      <w:szCs w:val="20"/>
                      <w:lang w:eastAsia="es-ES"/>
                    </w:rPr>
                  </w:pPr>
                  <w:r w:rsidRPr="009E561D">
                    <w:rPr>
                      <w:rFonts w:ascii="Arial" w:eastAsia="Times New Roman" w:hAnsi="Arial" w:cs="Arial"/>
                      <w:b/>
                      <w:sz w:val="20"/>
                      <w:szCs w:val="20"/>
                      <w:lang w:eastAsia="es-ES"/>
                    </w:rPr>
                    <w:t>Observaciones:</w:t>
                  </w:r>
                </w:p>
              </w:tc>
              <w:tc>
                <w:tcPr>
                  <w:tcW w:w="2642" w:type="pct"/>
                  <w:shd w:val="clear" w:color="auto" w:fill="auto"/>
                </w:tcPr>
                <w:p w:rsidR="009E561D" w:rsidRPr="009E561D" w:rsidRDefault="009E561D" w:rsidP="009E561D">
                  <w:pPr>
                    <w:spacing w:after="0" w:line="240" w:lineRule="auto"/>
                    <w:jc w:val="both"/>
                    <w:rPr>
                      <w:rFonts w:ascii="Arial" w:eastAsia="Times New Roman" w:hAnsi="Arial" w:cs="Arial"/>
                      <w:sz w:val="20"/>
                      <w:szCs w:val="20"/>
                      <w:lang w:eastAsia="es-ES"/>
                    </w:rPr>
                  </w:pPr>
                  <w:r w:rsidRPr="009E561D">
                    <w:rPr>
                      <w:rFonts w:ascii="Arial" w:eastAsia="Times New Roman" w:hAnsi="Arial" w:cs="Arial"/>
                      <w:sz w:val="20"/>
                      <w:szCs w:val="20"/>
                      <w:lang w:eastAsia="es-ES"/>
                    </w:rPr>
                    <w:t>Es importante señalar, que las actividades de elaboración y actualización se han realizado con la participación de la Presidencia Ejecutiva, la Dirección de Urbanismo y Vivienda y el Departamento de Urbanismo.</w:t>
                  </w:r>
                </w:p>
              </w:tc>
            </w:tr>
          </w:tbl>
          <w:p w:rsidR="009E561D" w:rsidRDefault="009E561D" w:rsidP="009E561D">
            <w:pPr>
              <w:spacing w:after="0" w:line="240" w:lineRule="auto"/>
              <w:jc w:val="both"/>
              <w:rPr>
                <w:rFonts w:ascii="Arial" w:eastAsia="Times New Roman" w:hAnsi="Arial" w:cs="Arial"/>
                <w:b/>
                <w:sz w:val="20"/>
                <w:szCs w:val="20"/>
                <w:lang w:eastAsia="es-ES"/>
              </w:rPr>
            </w:pPr>
          </w:p>
          <w:p w:rsidR="009E561D" w:rsidRPr="009E561D" w:rsidRDefault="009E561D" w:rsidP="009E561D">
            <w:pPr>
              <w:spacing w:after="0" w:line="240" w:lineRule="auto"/>
              <w:jc w:val="both"/>
              <w:rPr>
                <w:rFonts w:ascii="Arial" w:eastAsia="Times New Roman" w:hAnsi="Arial" w:cs="Arial"/>
                <w:sz w:val="18"/>
                <w:szCs w:val="18"/>
                <w:lang w:eastAsia="es-ES"/>
              </w:rPr>
            </w:pPr>
            <w:r w:rsidRPr="009E561D">
              <w:rPr>
                <w:rFonts w:ascii="Arial" w:eastAsia="Times New Roman" w:hAnsi="Arial" w:cs="Arial"/>
                <w:sz w:val="18"/>
                <w:szCs w:val="18"/>
                <w:lang w:eastAsia="es-ES"/>
              </w:rPr>
              <w:t>Nota Fuente: Informe de rendimiento de cuentas de área. (2017)</w:t>
            </w:r>
          </w:p>
        </w:tc>
      </w:tr>
    </w:tbl>
    <w:p w:rsidR="00D20BAC" w:rsidRPr="00D20BAC" w:rsidRDefault="00DA62C0" w:rsidP="00D20BAC">
      <w:pPr>
        <w:spacing w:after="0" w:line="240" w:lineRule="auto"/>
        <w:jc w:val="both"/>
        <w:rPr>
          <w:rFonts w:ascii="Arial" w:eastAsia="Times New Roman" w:hAnsi="Arial" w:cs="Arial"/>
          <w:b/>
          <w:sz w:val="20"/>
          <w:szCs w:val="20"/>
          <w:lang w:eastAsia="es-ES"/>
        </w:rPr>
      </w:pPr>
      <w:r>
        <w:rPr>
          <w:rFonts w:ascii="Arial" w:eastAsia="Times New Roman" w:hAnsi="Arial" w:cs="Arial"/>
          <w:sz w:val="20"/>
          <w:szCs w:val="20"/>
          <w:lang w:val="es-ES" w:eastAsia="es-ES"/>
        </w:rPr>
        <w:br w:type="page"/>
      </w:r>
      <w:r w:rsidR="00D20BAC" w:rsidRPr="00D20BAC">
        <w:rPr>
          <w:rFonts w:ascii="Arial" w:eastAsia="Times New Roman" w:hAnsi="Arial" w:cs="Arial"/>
          <w:b/>
          <w:sz w:val="20"/>
          <w:szCs w:val="20"/>
          <w:lang w:eastAsia="es-ES"/>
        </w:rPr>
        <w:lastRenderedPageBreak/>
        <w:t>Indicador N°13 Plazo Promedio en meses para revisión de los Planes Reguladores</w:t>
      </w:r>
    </w:p>
    <w:p w:rsidR="00D20BAC" w:rsidRPr="00D20BAC" w:rsidRDefault="00D20BAC" w:rsidP="00D20BAC">
      <w:pPr>
        <w:spacing w:after="0" w:line="240" w:lineRule="auto"/>
        <w:jc w:val="both"/>
        <w:rPr>
          <w:rFonts w:ascii="Arial" w:eastAsia="Times New Roman" w:hAnsi="Arial" w:cs="Arial"/>
          <w:b/>
          <w:sz w:val="20"/>
          <w:szCs w:val="20"/>
          <w:lang w:eastAsia="es-ES"/>
        </w:rPr>
      </w:pPr>
    </w:p>
    <w:p w:rsidR="00D20BAC" w:rsidRPr="00D20BAC" w:rsidRDefault="00D20BAC" w:rsidP="00916ECF">
      <w:pPr>
        <w:spacing w:after="0" w:line="240" w:lineRule="auto"/>
        <w:jc w:val="both"/>
        <w:rPr>
          <w:rFonts w:ascii="Arial" w:eastAsia="Times New Roman" w:hAnsi="Arial" w:cs="Arial"/>
          <w:sz w:val="20"/>
          <w:szCs w:val="20"/>
          <w:lang w:eastAsia="es-ES"/>
        </w:rPr>
      </w:pPr>
      <w:r w:rsidRPr="00D20BAC">
        <w:rPr>
          <w:rFonts w:ascii="Arial" w:eastAsia="Times New Roman" w:hAnsi="Arial" w:cs="Arial"/>
          <w:sz w:val="20"/>
          <w:szCs w:val="20"/>
          <w:lang w:eastAsia="es-ES"/>
        </w:rPr>
        <w:t xml:space="preserve">A diciembre ingresaron tres planes reguladores de las Municipalidades de Barba, Naranjo y Playa Tivives, los dos primeros se encuentran en revisión y el último fue aprobado. </w:t>
      </w:r>
    </w:p>
    <w:p w:rsidR="00D20BAC" w:rsidRPr="00D20BAC" w:rsidRDefault="00D20BAC" w:rsidP="00916ECF">
      <w:pPr>
        <w:spacing w:after="0" w:line="240" w:lineRule="auto"/>
        <w:jc w:val="both"/>
        <w:rPr>
          <w:rFonts w:ascii="Arial" w:eastAsia="Times New Roman" w:hAnsi="Arial" w:cs="Arial"/>
          <w:sz w:val="20"/>
          <w:szCs w:val="20"/>
          <w:lang w:eastAsia="es-ES"/>
        </w:rPr>
      </w:pPr>
    </w:p>
    <w:p w:rsidR="00D20BAC" w:rsidRPr="00D20BAC" w:rsidRDefault="00D20BAC" w:rsidP="00916ECF">
      <w:pPr>
        <w:spacing w:after="0" w:line="240" w:lineRule="auto"/>
        <w:jc w:val="both"/>
        <w:rPr>
          <w:rFonts w:ascii="Arial" w:eastAsia="Times New Roman" w:hAnsi="Arial" w:cs="Arial"/>
          <w:sz w:val="20"/>
          <w:szCs w:val="20"/>
          <w:lang w:eastAsia="es-ES"/>
        </w:rPr>
      </w:pPr>
      <w:r w:rsidRPr="00D20BAC">
        <w:rPr>
          <w:rFonts w:ascii="Arial" w:eastAsia="Times New Roman" w:hAnsi="Arial" w:cs="Arial"/>
          <w:sz w:val="20"/>
          <w:szCs w:val="20"/>
          <w:lang w:eastAsia="es-ES"/>
        </w:rPr>
        <w:t xml:space="preserve">El plazo promedio para revisión fue de 3 meses, tiempo congruente con lo establecido en la meta del  indicador, fijado tres meses. </w:t>
      </w:r>
    </w:p>
    <w:p w:rsidR="00D20BAC" w:rsidRPr="00D20BAC" w:rsidRDefault="00D20BAC" w:rsidP="00916ECF">
      <w:pPr>
        <w:spacing w:after="0" w:line="240" w:lineRule="auto"/>
        <w:jc w:val="both"/>
        <w:rPr>
          <w:rFonts w:ascii="Arial" w:eastAsia="Times New Roman" w:hAnsi="Arial" w:cs="Arial"/>
          <w:sz w:val="20"/>
          <w:szCs w:val="20"/>
          <w:lang w:eastAsia="es-ES"/>
        </w:rPr>
      </w:pPr>
    </w:p>
    <w:p w:rsidR="00D20BAC" w:rsidRPr="00D20BAC" w:rsidRDefault="00D20BAC" w:rsidP="00916ECF">
      <w:pPr>
        <w:spacing w:after="0" w:line="240" w:lineRule="auto"/>
        <w:jc w:val="both"/>
        <w:rPr>
          <w:rFonts w:ascii="Arial" w:eastAsia="Times New Roman" w:hAnsi="Arial" w:cs="Arial"/>
          <w:b/>
          <w:sz w:val="20"/>
          <w:szCs w:val="20"/>
          <w:lang w:eastAsia="es-ES"/>
        </w:rPr>
      </w:pPr>
      <w:r w:rsidRPr="00D20BAC">
        <w:rPr>
          <w:rFonts w:ascii="Arial" w:eastAsia="Times New Roman" w:hAnsi="Arial" w:cs="Arial"/>
          <w:sz w:val="20"/>
          <w:szCs w:val="20"/>
          <w:lang w:eastAsia="es-ES"/>
        </w:rPr>
        <w:t>En el siguiente cuadro se muestran algunas actividades de cada plan.</w:t>
      </w:r>
      <w:r w:rsidRPr="00D20BAC">
        <w:rPr>
          <w:rFonts w:ascii="Arial" w:eastAsia="Times New Roman" w:hAnsi="Arial" w:cs="Arial"/>
          <w:b/>
          <w:sz w:val="20"/>
          <w:szCs w:val="20"/>
          <w:lang w:eastAsia="es-ES"/>
        </w:rPr>
        <w:t xml:space="preserve"> </w:t>
      </w:r>
    </w:p>
    <w:p w:rsidR="00D20BAC" w:rsidRPr="00D20BAC" w:rsidRDefault="00D20BAC" w:rsidP="00D20BAC">
      <w:pPr>
        <w:spacing w:after="0" w:line="240" w:lineRule="auto"/>
        <w:jc w:val="both"/>
        <w:rPr>
          <w:rFonts w:ascii="Arial" w:eastAsia="Times New Roman" w:hAnsi="Arial" w:cs="Arial"/>
          <w:b/>
          <w:sz w:val="20"/>
          <w:szCs w:val="20"/>
          <w:lang w:eastAsia="es-ES"/>
        </w:rPr>
      </w:pPr>
    </w:p>
    <w:p w:rsidR="00D20BAC" w:rsidRPr="00D20BAC" w:rsidRDefault="00D20BAC" w:rsidP="00D20BAC">
      <w:pPr>
        <w:spacing w:after="0" w:line="240" w:lineRule="auto"/>
        <w:jc w:val="center"/>
        <w:rPr>
          <w:rFonts w:ascii="Arial" w:eastAsia="Times New Roman" w:hAnsi="Arial" w:cs="Arial"/>
          <w:b/>
          <w:sz w:val="20"/>
          <w:szCs w:val="20"/>
          <w:lang w:eastAsia="es-ES"/>
        </w:rPr>
      </w:pPr>
      <w:r w:rsidRPr="00D20BAC">
        <w:rPr>
          <w:rFonts w:ascii="Arial" w:eastAsia="Times New Roman" w:hAnsi="Arial" w:cs="Arial"/>
          <w:b/>
          <w:sz w:val="20"/>
          <w:szCs w:val="20"/>
          <w:lang w:eastAsia="es-ES"/>
        </w:rPr>
        <w:t>Cuadro 5 Planes Reguladores</w:t>
      </w:r>
    </w:p>
    <w:p w:rsidR="00D20BAC" w:rsidRPr="00D20BAC" w:rsidRDefault="00D20BAC" w:rsidP="00D20BAC">
      <w:pPr>
        <w:spacing w:after="0" w:line="240" w:lineRule="auto"/>
        <w:jc w:val="center"/>
        <w:rPr>
          <w:rFonts w:ascii="Arial" w:eastAsia="Times New Roman" w:hAnsi="Arial" w:cs="Arial"/>
          <w:b/>
          <w:sz w:val="20"/>
          <w:szCs w:val="20"/>
          <w:lang w:eastAsia="es-ES"/>
        </w:rPr>
      </w:pPr>
      <w:r w:rsidRPr="00D20BAC">
        <w:rPr>
          <w:rFonts w:ascii="Arial" w:eastAsia="Times New Roman" w:hAnsi="Arial" w:cs="Arial"/>
          <w:b/>
          <w:sz w:val="20"/>
          <w:szCs w:val="20"/>
          <w:lang w:eastAsia="es-ES"/>
        </w:rPr>
        <w:t>(Enero – diciembre 2017)</w:t>
      </w:r>
    </w:p>
    <w:tbl>
      <w:tblPr>
        <w:tblW w:w="6020" w:type="pct"/>
        <w:tblInd w:w="-1004" w:type="dxa"/>
        <w:tblLayout w:type="fixed"/>
        <w:tblCellMar>
          <w:left w:w="70" w:type="dxa"/>
          <w:right w:w="70" w:type="dxa"/>
        </w:tblCellMar>
        <w:tblLook w:val="04A0" w:firstRow="1" w:lastRow="0" w:firstColumn="1" w:lastColumn="0" w:noHBand="0" w:noVBand="1"/>
      </w:tblPr>
      <w:tblGrid>
        <w:gridCol w:w="461"/>
        <w:gridCol w:w="1258"/>
        <w:gridCol w:w="1317"/>
        <w:gridCol w:w="1094"/>
        <w:gridCol w:w="1087"/>
        <w:gridCol w:w="863"/>
        <w:gridCol w:w="655"/>
        <w:gridCol w:w="791"/>
        <w:gridCol w:w="960"/>
        <w:gridCol w:w="2324"/>
      </w:tblGrid>
      <w:tr w:rsidR="00D20BAC" w:rsidRPr="00D20BAC" w:rsidTr="00D20BAC">
        <w:trPr>
          <w:trHeight w:val="182"/>
        </w:trPr>
        <w:tc>
          <w:tcPr>
            <w:tcW w:w="213" w:type="pct"/>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D20BAC" w:rsidRPr="00D20BAC" w:rsidRDefault="00D20BAC" w:rsidP="00D20BAC">
            <w:pPr>
              <w:spacing w:after="0" w:line="240" w:lineRule="auto"/>
              <w:jc w:val="both"/>
              <w:rPr>
                <w:rFonts w:ascii="Arial" w:eastAsia="Times New Roman" w:hAnsi="Arial" w:cs="Arial"/>
                <w:sz w:val="18"/>
                <w:szCs w:val="18"/>
                <w:lang w:eastAsia="es-ES"/>
              </w:rPr>
            </w:pPr>
            <w:r w:rsidRPr="00D20BAC">
              <w:rPr>
                <w:rFonts w:ascii="Arial" w:eastAsia="Times New Roman" w:hAnsi="Arial" w:cs="Arial"/>
                <w:sz w:val="18"/>
                <w:szCs w:val="18"/>
                <w:lang w:eastAsia="es-ES"/>
              </w:rPr>
              <w:br w:type="page"/>
              <w:t>N°</w:t>
            </w:r>
          </w:p>
        </w:tc>
        <w:tc>
          <w:tcPr>
            <w:tcW w:w="582"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D20BAC" w:rsidRPr="00D20BAC" w:rsidRDefault="00D20BAC" w:rsidP="00D20BAC">
            <w:pPr>
              <w:spacing w:after="0" w:line="240" w:lineRule="auto"/>
              <w:jc w:val="both"/>
              <w:rPr>
                <w:rFonts w:ascii="Arial" w:eastAsia="Times New Roman" w:hAnsi="Arial" w:cs="Arial"/>
                <w:sz w:val="18"/>
                <w:szCs w:val="18"/>
                <w:lang w:eastAsia="es-ES"/>
              </w:rPr>
            </w:pPr>
            <w:r w:rsidRPr="00D20BAC">
              <w:rPr>
                <w:rFonts w:ascii="Arial" w:eastAsia="Times New Roman" w:hAnsi="Arial" w:cs="Arial"/>
                <w:sz w:val="18"/>
                <w:szCs w:val="18"/>
                <w:lang w:eastAsia="es-ES"/>
              </w:rPr>
              <w:t>Planes Reguladores (Lugares)</w:t>
            </w:r>
          </w:p>
        </w:tc>
        <w:tc>
          <w:tcPr>
            <w:tcW w:w="1618" w:type="pct"/>
            <w:gridSpan w:val="3"/>
            <w:tcBorders>
              <w:top w:val="single" w:sz="8" w:space="0" w:color="auto"/>
              <w:left w:val="nil"/>
              <w:bottom w:val="single" w:sz="4" w:space="0" w:color="auto"/>
              <w:right w:val="single" w:sz="4" w:space="0" w:color="auto"/>
            </w:tcBorders>
            <w:shd w:val="clear" w:color="auto" w:fill="auto"/>
            <w:noWrap/>
            <w:vAlign w:val="center"/>
            <w:hideMark/>
          </w:tcPr>
          <w:p w:rsidR="00D20BAC" w:rsidRPr="00D20BAC" w:rsidRDefault="00D20BAC" w:rsidP="00D20BAC">
            <w:pPr>
              <w:spacing w:after="0" w:line="240" w:lineRule="auto"/>
              <w:jc w:val="both"/>
              <w:rPr>
                <w:rFonts w:ascii="Arial" w:eastAsia="Times New Roman" w:hAnsi="Arial" w:cs="Arial"/>
                <w:sz w:val="18"/>
                <w:szCs w:val="18"/>
                <w:lang w:eastAsia="es-ES"/>
              </w:rPr>
            </w:pPr>
            <w:r w:rsidRPr="00D20BAC">
              <w:rPr>
                <w:rFonts w:ascii="Arial" w:eastAsia="Times New Roman" w:hAnsi="Arial" w:cs="Arial"/>
                <w:sz w:val="18"/>
                <w:szCs w:val="18"/>
                <w:lang w:eastAsia="es-ES"/>
              </w:rPr>
              <w:t>Fecha</w:t>
            </w:r>
          </w:p>
        </w:tc>
        <w:tc>
          <w:tcPr>
            <w:tcW w:w="701" w:type="pct"/>
            <w:gridSpan w:val="2"/>
            <w:tcBorders>
              <w:top w:val="single" w:sz="8" w:space="0" w:color="auto"/>
              <w:left w:val="nil"/>
              <w:bottom w:val="single" w:sz="4" w:space="0" w:color="auto"/>
              <w:right w:val="single" w:sz="4" w:space="0" w:color="auto"/>
            </w:tcBorders>
            <w:shd w:val="clear" w:color="auto" w:fill="auto"/>
            <w:noWrap/>
            <w:vAlign w:val="center"/>
            <w:hideMark/>
          </w:tcPr>
          <w:p w:rsidR="00D20BAC" w:rsidRPr="00D20BAC" w:rsidRDefault="00D20BAC" w:rsidP="00D20BAC">
            <w:pPr>
              <w:spacing w:after="0" w:line="240" w:lineRule="auto"/>
              <w:jc w:val="both"/>
              <w:rPr>
                <w:rFonts w:ascii="Arial" w:eastAsia="Times New Roman" w:hAnsi="Arial" w:cs="Arial"/>
                <w:sz w:val="18"/>
                <w:szCs w:val="18"/>
                <w:lang w:eastAsia="es-ES"/>
              </w:rPr>
            </w:pPr>
            <w:r w:rsidRPr="00D20BAC">
              <w:rPr>
                <w:rFonts w:ascii="Arial" w:eastAsia="Times New Roman" w:hAnsi="Arial" w:cs="Arial"/>
                <w:sz w:val="18"/>
                <w:szCs w:val="18"/>
                <w:lang w:eastAsia="es-ES"/>
              </w:rPr>
              <w:t>Tiempo (días hábiles)</w:t>
            </w:r>
          </w:p>
        </w:tc>
        <w:tc>
          <w:tcPr>
            <w:tcW w:w="810" w:type="pct"/>
            <w:gridSpan w:val="2"/>
            <w:tcBorders>
              <w:top w:val="single" w:sz="8" w:space="0" w:color="auto"/>
              <w:left w:val="nil"/>
              <w:bottom w:val="single" w:sz="4" w:space="0" w:color="auto"/>
              <w:right w:val="single" w:sz="4" w:space="0" w:color="auto"/>
            </w:tcBorders>
            <w:shd w:val="clear" w:color="auto" w:fill="auto"/>
            <w:noWrap/>
            <w:vAlign w:val="center"/>
            <w:hideMark/>
          </w:tcPr>
          <w:p w:rsidR="00D20BAC" w:rsidRPr="00D20BAC" w:rsidRDefault="00D20BAC" w:rsidP="00D20BAC">
            <w:pPr>
              <w:spacing w:after="0" w:line="240" w:lineRule="auto"/>
              <w:jc w:val="both"/>
              <w:rPr>
                <w:rFonts w:ascii="Arial" w:eastAsia="Times New Roman" w:hAnsi="Arial" w:cs="Arial"/>
                <w:sz w:val="18"/>
                <w:szCs w:val="18"/>
                <w:lang w:eastAsia="es-ES"/>
              </w:rPr>
            </w:pPr>
            <w:r w:rsidRPr="00D20BAC">
              <w:rPr>
                <w:rFonts w:ascii="Arial" w:eastAsia="Times New Roman" w:hAnsi="Arial" w:cs="Arial"/>
                <w:sz w:val="18"/>
                <w:szCs w:val="18"/>
                <w:lang w:eastAsia="es-ES"/>
              </w:rPr>
              <w:t>Tipo de Plan</w:t>
            </w:r>
          </w:p>
        </w:tc>
        <w:tc>
          <w:tcPr>
            <w:tcW w:w="1075" w:type="pct"/>
            <w:vMerge w:val="restart"/>
            <w:tcBorders>
              <w:top w:val="single" w:sz="8" w:space="0" w:color="auto"/>
              <w:left w:val="single" w:sz="4" w:space="0" w:color="auto"/>
              <w:bottom w:val="single" w:sz="8" w:space="0" w:color="000000"/>
              <w:right w:val="single" w:sz="8" w:space="0" w:color="auto"/>
            </w:tcBorders>
            <w:shd w:val="clear" w:color="auto" w:fill="auto"/>
            <w:noWrap/>
            <w:vAlign w:val="center"/>
            <w:hideMark/>
          </w:tcPr>
          <w:p w:rsidR="00D20BAC" w:rsidRPr="00D20BAC" w:rsidRDefault="00D20BAC" w:rsidP="00D20BAC">
            <w:pPr>
              <w:spacing w:after="0" w:line="240" w:lineRule="auto"/>
              <w:jc w:val="both"/>
              <w:rPr>
                <w:rFonts w:ascii="Arial" w:eastAsia="Times New Roman" w:hAnsi="Arial" w:cs="Arial"/>
                <w:sz w:val="18"/>
                <w:szCs w:val="18"/>
                <w:lang w:eastAsia="es-ES"/>
              </w:rPr>
            </w:pPr>
            <w:r w:rsidRPr="00D20BAC">
              <w:rPr>
                <w:rFonts w:ascii="Arial" w:eastAsia="Times New Roman" w:hAnsi="Arial" w:cs="Arial"/>
                <w:sz w:val="18"/>
                <w:szCs w:val="18"/>
                <w:lang w:eastAsia="es-ES"/>
              </w:rPr>
              <w:t>Observaciones</w:t>
            </w:r>
          </w:p>
        </w:tc>
      </w:tr>
      <w:tr w:rsidR="00D20BAC" w:rsidRPr="00D20BAC" w:rsidTr="00D20BAC">
        <w:trPr>
          <w:trHeight w:val="192"/>
        </w:trPr>
        <w:tc>
          <w:tcPr>
            <w:tcW w:w="213" w:type="pct"/>
            <w:vMerge/>
            <w:tcBorders>
              <w:top w:val="single" w:sz="8" w:space="0" w:color="auto"/>
              <w:left w:val="single" w:sz="8" w:space="0" w:color="auto"/>
              <w:bottom w:val="single" w:sz="8" w:space="0" w:color="000000"/>
              <w:right w:val="single" w:sz="4" w:space="0" w:color="auto"/>
            </w:tcBorders>
            <w:vAlign w:val="center"/>
            <w:hideMark/>
          </w:tcPr>
          <w:p w:rsidR="00D20BAC" w:rsidRPr="00D20BAC" w:rsidRDefault="00D20BAC" w:rsidP="00D20BAC">
            <w:pPr>
              <w:spacing w:after="0" w:line="240" w:lineRule="auto"/>
              <w:jc w:val="both"/>
              <w:rPr>
                <w:rFonts w:ascii="Arial" w:eastAsia="Times New Roman" w:hAnsi="Arial" w:cs="Arial"/>
                <w:sz w:val="18"/>
                <w:szCs w:val="18"/>
                <w:lang w:eastAsia="es-ES"/>
              </w:rPr>
            </w:pPr>
          </w:p>
        </w:tc>
        <w:tc>
          <w:tcPr>
            <w:tcW w:w="582" w:type="pct"/>
            <w:vMerge/>
            <w:tcBorders>
              <w:top w:val="single" w:sz="8" w:space="0" w:color="auto"/>
              <w:left w:val="single" w:sz="4" w:space="0" w:color="auto"/>
              <w:bottom w:val="single" w:sz="8" w:space="0" w:color="000000"/>
              <w:right w:val="single" w:sz="4" w:space="0" w:color="auto"/>
            </w:tcBorders>
            <w:vAlign w:val="center"/>
            <w:hideMark/>
          </w:tcPr>
          <w:p w:rsidR="00D20BAC" w:rsidRPr="00D20BAC" w:rsidRDefault="00D20BAC" w:rsidP="00D20BAC">
            <w:pPr>
              <w:spacing w:after="0" w:line="240" w:lineRule="auto"/>
              <w:jc w:val="both"/>
              <w:rPr>
                <w:rFonts w:ascii="Arial" w:eastAsia="Times New Roman" w:hAnsi="Arial" w:cs="Arial"/>
                <w:sz w:val="18"/>
                <w:szCs w:val="18"/>
                <w:lang w:eastAsia="es-ES"/>
              </w:rPr>
            </w:pPr>
          </w:p>
        </w:tc>
        <w:tc>
          <w:tcPr>
            <w:tcW w:w="609" w:type="pct"/>
            <w:tcBorders>
              <w:top w:val="nil"/>
              <w:left w:val="nil"/>
              <w:bottom w:val="single" w:sz="8" w:space="0" w:color="auto"/>
              <w:right w:val="single" w:sz="4" w:space="0" w:color="auto"/>
            </w:tcBorders>
            <w:shd w:val="clear" w:color="auto" w:fill="auto"/>
            <w:noWrap/>
            <w:vAlign w:val="center"/>
            <w:hideMark/>
          </w:tcPr>
          <w:p w:rsidR="00D20BAC" w:rsidRPr="00D20BAC" w:rsidRDefault="00D20BAC" w:rsidP="00D20BAC">
            <w:pPr>
              <w:spacing w:after="0" w:line="240" w:lineRule="auto"/>
              <w:jc w:val="both"/>
              <w:rPr>
                <w:rFonts w:ascii="Arial" w:eastAsia="Times New Roman" w:hAnsi="Arial" w:cs="Arial"/>
                <w:sz w:val="18"/>
                <w:szCs w:val="18"/>
                <w:lang w:eastAsia="es-ES"/>
              </w:rPr>
            </w:pPr>
            <w:r w:rsidRPr="00D20BAC">
              <w:rPr>
                <w:rFonts w:ascii="Arial" w:eastAsia="Times New Roman" w:hAnsi="Arial" w:cs="Arial"/>
                <w:sz w:val="18"/>
                <w:szCs w:val="18"/>
                <w:lang w:eastAsia="es-ES"/>
              </w:rPr>
              <w:t>Presentación</w:t>
            </w:r>
          </w:p>
        </w:tc>
        <w:tc>
          <w:tcPr>
            <w:tcW w:w="506" w:type="pct"/>
            <w:tcBorders>
              <w:top w:val="nil"/>
              <w:left w:val="nil"/>
              <w:bottom w:val="single" w:sz="8" w:space="0" w:color="auto"/>
              <w:right w:val="single" w:sz="4" w:space="0" w:color="auto"/>
            </w:tcBorders>
            <w:shd w:val="clear" w:color="auto" w:fill="auto"/>
            <w:noWrap/>
            <w:vAlign w:val="center"/>
            <w:hideMark/>
          </w:tcPr>
          <w:p w:rsidR="00D20BAC" w:rsidRPr="00D20BAC" w:rsidRDefault="00D20BAC" w:rsidP="00D20BAC">
            <w:pPr>
              <w:spacing w:after="0" w:line="240" w:lineRule="auto"/>
              <w:jc w:val="both"/>
              <w:rPr>
                <w:rFonts w:ascii="Arial" w:eastAsia="Times New Roman" w:hAnsi="Arial" w:cs="Arial"/>
                <w:sz w:val="18"/>
                <w:szCs w:val="18"/>
                <w:lang w:eastAsia="es-ES"/>
              </w:rPr>
            </w:pPr>
            <w:r w:rsidRPr="00D20BAC">
              <w:rPr>
                <w:rFonts w:ascii="Arial" w:eastAsia="Times New Roman" w:hAnsi="Arial" w:cs="Arial"/>
                <w:sz w:val="18"/>
                <w:szCs w:val="18"/>
                <w:lang w:eastAsia="es-ES"/>
              </w:rPr>
              <w:t>Solicitud Corrección</w:t>
            </w:r>
          </w:p>
        </w:tc>
        <w:tc>
          <w:tcPr>
            <w:tcW w:w="503" w:type="pct"/>
            <w:tcBorders>
              <w:top w:val="nil"/>
              <w:left w:val="nil"/>
              <w:bottom w:val="single" w:sz="8" w:space="0" w:color="auto"/>
              <w:right w:val="single" w:sz="4" w:space="0" w:color="auto"/>
            </w:tcBorders>
            <w:shd w:val="clear" w:color="auto" w:fill="auto"/>
            <w:noWrap/>
            <w:vAlign w:val="center"/>
            <w:hideMark/>
          </w:tcPr>
          <w:p w:rsidR="00D20BAC" w:rsidRPr="00D20BAC" w:rsidRDefault="00D20BAC" w:rsidP="00D20BAC">
            <w:pPr>
              <w:spacing w:after="0" w:line="240" w:lineRule="auto"/>
              <w:jc w:val="both"/>
              <w:rPr>
                <w:rFonts w:ascii="Arial" w:eastAsia="Times New Roman" w:hAnsi="Arial" w:cs="Arial"/>
                <w:sz w:val="18"/>
                <w:szCs w:val="18"/>
                <w:lang w:eastAsia="es-ES"/>
              </w:rPr>
            </w:pPr>
            <w:r w:rsidRPr="00D20BAC">
              <w:rPr>
                <w:rFonts w:ascii="Arial" w:eastAsia="Times New Roman" w:hAnsi="Arial" w:cs="Arial"/>
                <w:sz w:val="18"/>
                <w:szCs w:val="18"/>
                <w:lang w:eastAsia="es-ES"/>
              </w:rPr>
              <w:t>Aprobado</w:t>
            </w:r>
          </w:p>
        </w:tc>
        <w:tc>
          <w:tcPr>
            <w:tcW w:w="398" w:type="pct"/>
            <w:tcBorders>
              <w:top w:val="nil"/>
              <w:left w:val="nil"/>
              <w:bottom w:val="single" w:sz="8" w:space="0" w:color="auto"/>
              <w:right w:val="single" w:sz="4" w:space="0" w:color="auto"/>
            </w:tcBorders>
            <w:shd w:val="clear" w:color="auto" w:fill="auto"/>
            <w:noWrap/>
            <w:vAlign w:val="center"/>
            <w:hideMark/>
          </w:tcPr>
          <w:p w:rsidR="00D20BAC" w:rsidRPr="00D20BAC" w:rsidRDefault="00D20BAC" w:rsidP="00D20BAC">
            <w:pPr>
              <w:spacing w:after="0" w:line="240" w:lineRule="auto"/>
              <w:jc w:val="both"/>
              <w:rPr>
                <w:rFonts w:ascii="Arial" w:eastAsia="Times New Roman" w:hAnsi="Arial" w:cs="Arial"/>
                <w:sz w:val="18"/>
                <w:szCs w:val="18"/>
                <w:lang w:eastAsia="es-ES"/>
              </w:rPr>
            </w:pPr>
            <w:r w:rsidRPr="00D20BAC">
              <w:rPr>
                <w:rFonts w:ascii="Arial" w:eastAsia="Times New Roman" w:hAnsi="Arial" w:cs="Arial"/>
                <w:sz w:val="18"/>
                <w:szCs w:val="18"/>
                <w:lang w:eastAsia="es-ES"/>
              </w:rPr>
              <w:t>Revisión</w:t>
            </w:r>
          </w:p>
        </w:tc>
        <w:tc>
          <w:tcPr>
            <w:tcW w:w="303" w:type="pct"/>
            <w:tcBorders>
              <w:top w:val="nil"/>
              <w:left w:val="nil"/>
              <w:bottom w:val="single" w:sz="8" w:space="0" w:color="auto"/>
              <w:right w:val="single" w:sz="4" w:space="0" w:color="auto"/>
            </w:tcBorders>
            <w:shd w:val="clear" w:color="auto" w:fill="auto"/>
            <w:noWrap/>
            <w:vAlign w:val="center"/>
            <w:hideMark/>
          </w:tcPr>
          <w:p w:rsidR="00D20BAC" w:rsidRPr="00D20BAC" w:rsidRDefault="00D20BAC" w:rsidP="00D20BAC">
            <w:pPr>
              <w:spacing w:after="0" w:line="240" w:lineRule="auto"/>
              <w:jc w:val="both"/>
              <w:rPr>
                <w:rFonts w:ascii="Arial" w:eastAsia="Times New Roman" w:hAnsi="Arial" w:cs="Arial"/>
                <w:sz w:val="18"/>
                <w:szCs w:val="18"/>
                <w:lang w:eastAsia="es-ES"/>
              </w:rPr>
            </w:pPr>
            <w:r w:rsidRPr="00D20BAC">
              <w:rPr>
                <w:rFonts w:ascii="Arial" w:eastAsia="Times New Roman" w:hAnsi="Arial" w:cs="Arial"/>
                <w:sz w:val="18"/>
                <w:szCs w:val="18"/>
                <w:lang w:eastAsia="es-ES"/>
              </w:rPr>
              <w:t>Total</w:t>
            </w:r>
          </w:p>
        </w:tc>
        <w:tc>
          <w:tcPr>
            <w:tcW w:w="366" w:type="pct"/>
            <w:tcBorders>
              <w:top w:val="nil"/>
              <w:left w:val="nil"/>
              <w:bottom w:val="single" w:sz="8" w:space="0" w:color="auto"/>
              <w:right w:val="single" w:sz="4" w:space="0" w:color="auto"/>
            </w:tcBorders>
            <w:shd w:val="clear" w:color="auto" w:fill="auto"/>
            <w:noWrap/>
            <w:vAlign w:val="center"/>
            <w:hideMark/>
          </w:tcPr>
          <w:p w:rsidR="00D20BAC" w:rsidRPr="00D20BAC" w:rsidRDefault="00D20BAC" w:rsidP="00D20BAC">
            <w:pPr>
              <w:spacing w:after="0" w:line="240" w:lineRule="auto"/>
              <w:jc w:val="both"/>
              <w:rPr>
                <w:rFonts w:ascii="Arial" w:eastAsia="Times New Roman" w:hAnsi="Arial" w:cs="Arial"/>
                <w:sz w:val="18"/>
                <w:szCs w:val="18"/>
                <w:lang w:eastAsia="es-ES"/>
              </w:rPr>
            </w:pPr>
            <w:r w:rsidRPr="00D20BAC">
              <w:rPr>
                <w:rFonts w:ascii="Arial" w:eastAsia="Times New Roman" w:hAnsi="Arial" w:cs="Arial"/>
                <w:sz w:val="18"/>
                <w:szCs w:val="18"/>
                <w:lang w:eastAsia="es-ES"/>
              </w:rPr>
              <w:t>Urbano</w:t>
            </w:r>
          </w:p>
        </w:tc>
        <w:tc>
          <w:tcPr>
            <w:tcW w:w="444" w:type="pct"/>
            <w:tcBorders>
              <w:top w:val="nil"/>
              <w:left w:val="nil"/>
              <w:bottom w:val="single" w:sz="8" w:space="0" w:color="auto"/>
              <w:right w:val="single" w:sz="4" w:space="0" w:color="auto"/>
            </w:tcBorders>
            <w:shd w:val="clear" w:color="auto" w:fill="auto"/>
            <w:noWrap/>
            <w:vAlign w:val="center"/>
            <w:hideMark/>
          </w:tcPr>
          <w:p w:rsidR="00D20BAC" w:rsidRPr="00D20BAC" w:rsidRDefault="00D20BAC" w:rsidP="00D20BAC">
            <w:pPr>
              <w:spacing w:after="0" w:line="240" w:lineRule="auto"/>
              <w:jc w:val="both"/>
              <w:rPr>
                <w:rFonts w:ascii="Arial" w:eastAsia="Times New Roman" w:hAnsi="Arial" w:cs="Arial"/>
                <w:sz w:val="18"/>
                <w:szCs w:val="18"/>
                <w:lang w:eastAsia="es-ES"/>
              </w:rPr>
            </w:pPr>
            <w:r w:rsidRPr="00D20BAC">
              <w:rPr>
                <w:rFonts w:ascii="Arial" w:eastAsia="Times New Roman" w:hAnsi="Arial" w:cs="Arial"/>
                <w:sz w:val="18"/>
                <w:szCs w:val="18"/>
                <w:lang w:eastAsia="es-ES"/>
              </w:rPr>
              <w:t>Costeros</w:t>
            </w:r>
          </w:p>
        </w:tc>
        <w:tc>
          <w:tcPr>
            <w:tcW w:w="1075" w:type="pct"/>
            <w:vMerge/>
            <w:tcBorders>
              <w:top w:val="single" w:sz="8" w:space="0" w:color="auto"/>
              <w:left w:val="single" w:sz="4" w:space="0" w:color="auto"/>
              <w:bottom w:val="single" w:sz="8" w:space="0" w:color="000000"/>
              <w:right w:val="single" w:sz="8" w:space="0" w:color="auto"/>
            </w:tcBorders>
            <w:vAlign w:val="center"/>
            <w:hideMark/>
          </w:tcPr>
          <w:p w:rsidR="00D20BAC" w:rsidRPr="00D20BAC" w:rsidRDefault="00D20BAC" w:rsidP="00D20BAC">
            <w:pPr>
              <w:spacing w:after="0" w:line="240" w:lineRule="auto"/>
              <w:jc w:val="both"/>
              <w:rPr>
                <w:rFonts w:ascii="Arial" w:eastAsia="Times New Roman" w:hAnsi="Arial" w:cs="Arial"/>
                <w:sz w:val="18"/>
                <w:szCs w:val="18"/>
                <w:lang w:eastAsia="es-ES"/>
              </w:rPr>
            </w:pPr>
          </w:p>
        </w:tc>
      </w:tr>
      <w:tr w:rsidR="00D20BAC" w:rsidRPr="00D20BAC" w:rsidTr="00D20BAC">
        <w:trPr>
          <w:trHeight w:val="492"/>
        </w:trPr>
        <w:tc>
          <w:tcPr>
            <w:tcW w:w="213" w:type="pct"/>
            <w:tcBorders>
              <w:top w:val="nil"/>
              <w:left w:val="single" w:sz="8" w:space="0" w:color="auto"/>
              <w:bottom w:val="single" w:sz="4" w:space="0" w:color="auto"/>
              <w:right w:val="single" w:sz="4" w:space="0" w:color="auto"/>
            </w:tcBorders>
            <w:shd w:val="clear" w:color="auto" w:fill="auto"/>
            <w:noWrap/>
            <w:vAlign w:val="center"/>
            <w:hideMark/>
          </w:tcPr>
          <w:p w:rsidR="00D20BAC" w:rsidRPr="00D20BAC" w:rsidRDefault="00D20BAC" w:rsidP="00D20BAC">
            <w:pPr>
              <w:spacing w:after="0" w:line="240" w:lineRule="auto"/>
              <w:jc w:val="both"/>
              <w:rPr>
                <w:rFonts w:ascii="Arial" w:eastAsia="Times New Roman" w:hAnsi="Arial" w:cs="Arial"/>
                <w:sz w:val="18"/>
                <w:szCs w:val="18"/>
                <w:lang w:eastAsia="es-ES"/>
              </w:rPr>
            </w:pPr>
            <w:r w:rsidRPr="00D20BAC">
              <w:rPr>
                <w:rFonts w:ascii="Arial" w:eastAsia="Times New Roman" w:hAnsi="Arial" w:cs="Arial"/>
                <w:sz w:val="18"/>
                <w:szCs w:val="18"/>
                <w:lang w:eastAsia="es-ES"/>
              </w:rPr>
              <w:t>1</w:t>
            </w:r>
          </w:p>
        </w:tc>
        <w:tc>
          <w:tcPr>
            <w:tcW w:w="582" w:type="pct"/>
            <w:tcBorders>
              <w:top w:val="nil"/>
              <w:left w:val="single" w:sz="4" w:space="0" w:color="auto"/>
              <w:bottom w:val="single" w:sz="4" w:space="0" w:color="auto"/>
              <w:right w:val="single" w:sz="4" w:space="0" w:color="auto"/>
            </w:tcBorders>
            <w:shd w:val="clear" w:color="auto" w:fill="auto"/>
            <w:vAlign w:val="center"/>
          </w:tcPr>
          <w:p w:rsidR="00D20BAC" w:rsidRPr="00D20BAC" w:rsidRDefault="00D20BAC" w:rsidP="00D20BAC">
            <w:pPr>
              <w:spacing w:after="0" w:line="240" w:lineRule="auto"/>
              <w:jc w:val="both"/>
              <w:rPr>
                <w:rFonts w:ascii="Arial" w:eastAsia="Times New Roman" w:hAnsi="Arial" w:cs="Arial"/>
                <w:sz w:val="18"/>
                <w:szCs w:val="18"/>
                <w:lang w:eastAsia="es-ES"/>
              </w:rPr>
            </w:pPr>
            <w:r w:rsidRPr="00D20BAC">
              <w:rPr>
                <w:rFonts w:ascii="Arial" w:eastAsia="Times New Roman" w:hAnsi="Arial" w:cs="Arial"/>
                <w:sz w:val="18"/>
                <w:szCs w:val="18"/>
                <w:lang w:eastAsia="es-ES"/>
              </w:rPr>
              <w:t>Barba de Heredia</w:t>
            </w:r>
          </w:p>
        </w:tc>
        <w:tc>
          <w:tcPr>
            <w:tcW w:w="609" w:type="pct"/>
            <w:tcBorders>
              <w:top w:val="nil"/>
              <w:left w:val="nil"/>
              <w:bottom w:val="single" w:sz="4" w:space="0" w:color="auto"/>
              <w:right w:val="single" w:sz="4" w:space="0" w:color="auto"/>
            </w:tcBorders>
            <w:shd w:val="clear" w:color="auto" w:fill="auto"/>
            <w:noWrap/>
            <w:vAlign w:val="center"/>
          </w:tcPr>
          <w:p w:rsidR="00D20BAC" w:rsidRPr="00D20BAC" w:rsidRDefault="00D20BAC" w:rsidP="00D20BAC">
            <w:pPr>
              <w:spacing w:after="0" w:line="240" w:lineRule="auto"/>
              <w:jc w:val="both"/>
              <w:rPr>
                <w:rFonts w:ascii="Arial" w:eastAsia="Times New Roman" w:hAnsi="Arial" w:cs="Arial"/>
                <w:sz w:val="18"/>
                <w:szCs w:val="18"/>
                <w:lang w:eastAsia="es-ES"/>
              </w:rPr>
            </w:pPr>
            <w:r w:rsidRPr="00D20BAC">
              <w:rPr>
                <w:rFonts w:ascii="Arial" w:eastAsia="Times New Roman" w:hAnsi="Arial" w:cs="Arial"/>
                <w:sz w:val="18"/>
                <w:szCs w:val="18"/>
                <w:lang w:eastAsia="es-ES"/>
              </w:rPr>
              <w:t>24 Enero</w:t>
            </w:r>
          </w:p>
        </w:tc>
        <w:tc>
          <w:tcPr>
            <w:tcW w:w="506" w:type="pct"/>
            <w:tcBorders>
              <w:top w:val="nil"/>
              <w:left w:val="nil"/>
              <w:bottom w:val="single" w:sz="4" w:space="0" w:color="auto"/>
              <w:right w:val="single" w:sz="4" w:space="0" w:color="auto"/>
            </w:tcBorders>
            <w:shd w:val="clear" w:color="auto" w:fill="auto"/>
            <w:noWrap/>
            <w:vAlign w:val="center"/>
          </w:tcPr>
          <w:p w:rsidR="00D20BAC" w:rsidRPr="00D20BAC" w:rsidRDefault="00D20BAC" w:rsidP="00D20BAC">
            <w:pPr>
              <w:spacing w:after="0" w:line="240" w:lineRule="auto"/>
              <w:jc w:val="both"/>
              <w:rPr>
                <w:rFonts w:ascii="Arial" w:eastAsia="Times New Roman" w:hAnsi="Arial" w:cs="Arial"/>
                <w:sz w:val="18"/>
                <w:szCs w:val="18"/>
                <w:lang w:eastAsia="es-ES"/>
              </w:rPr>
            </w:pPr>
            <w:r w:rsidRPr="00D20BAC">
              <w:rPr>
                <w:rFonts w:ascii="Arial" w:eastAsia="Times New Roman" w:hAnsi="Arial" w:cs="Arial"/>
                <w:sz w:val="18"/>
                <w:szCs w:val="18"/>
                <w:lang w:eastAsia="es-ES"/>
              </w:rPr>
              <w:t>20 Abril</w:t>
            </w:r>
          </w:p>
        </w:tc>
        <w:tc>
          <w:tcPr>
            <w:tcW w:w="503" w:type="pct"/>
            <w:tcBorders>
              <w:top w:val="nil"/>
              <w:left w:val="nil"/>
              <w:bottom w:val="single" w:sz="4" w:space="0" w:color="auto"/>
              <w:right w:val="single" w:sz="4" w:space="0" w:color="auto"/>
            </w:tcBorders>
            <w:shd w:val="clear" w:color="auto" w:fill="auto"/>
            <w:noWrap/>
            <w:vAlign w:val="center"/>
          </w:tcPr>
          <w:p w:rsidR="00D20BAC" w:rsidRPr="00D20BAC" w:rsidRDefault="00D20BAC" w:rsidP="00D20BAC">
            <w:pPr>
              <w:spacing w:after="0" w:line="240" w:lineRule="auto"/>
              <w:jc w:val="both"/>
              <w:rPr>
                <w:rFonts w:ascii="Arial" w:eastAsia="Times New Roman" w:hAnsi="Arial" w:cs="Arial"/>
                <w:sz w:val="18"/>
                <w:szCs w:val="18"/>
                <w:lang w:eastAsia="es-ES"/>
              </w:rPr>
            </w:pPr>
          </w:p>
        </w:tc>
        <w:tc>
          <w:tcPr>
            <w:tcW w:w="398" w:type="pct"/>
            <w:tcBorders>
              <w:top w:val="nil"/>
              <w:left w:val="nil"/>
              <w:bottom w:val="single" w:sz="4" w:space="0" w:color="auto"/>
              <w:right w:val="single" w:sz="4" w:space="0" w:color="auto"/>
            </w:tcBorders>
            <w:shd w:val="clear" w:color="auto" w:fill="auto"/>
            <w:noWrap/>
            <w:vAlign w:val="center"/>
          </w:tcPr>
          <w:p w:rsidR="00D20BAC" w:rsidRPr="00D20BAC" w:rsidRDefault="00D20BAC" w:rsidP="00D20BAC">
            <w:pPr>
              <w:spacing w:after="0" w:line="240" w:lineRule="auto"/>
              <w:jc w:val="both"/>
              <w:rPr>
                <w:rFonts w:ascii="Arial" w:eastAsia="Times New Roman" w:hAnsi="Arial" w:cs="Arial"/>
                <w:sz w:val="18"/>
                <w:szCs w:val="18"/>
                <w:lang w:eastAsia="es-ES"/>
              </w:rPr>
            </w:pPr>
            <w:r w:rsidRPr="00D20BAC">
              <w:rPr>
                <w:rFonts w:ascii="Arial" w:eastAsia="Times New Roman" w:hAnsi="Arial" w:cs="Arial"/>
                <w:sz w:val="18"/>
                <w:szCs w:val="18"/>
                <w:lang w:eastAsia="es-ES"/>
              </w:rPr>
              <w:t>X</w:t>
            </w:r>
          </w:p>
        </w:tc>
        <w:tc>
          <w:tcPr>
            <w:tcW w:w="303" w:type="pct"/>
            <w:tcBorders>
              <w:top w:val="nil"/>
              <w:left w:val="single" w:sz="4" w:space="0" w:color="auto"/>
              <w:bottom w:val="single" w:sz="4" w:space="0" w:color="000000"/>
              <w:right w:val="single" w:sz="4" w:space="0" w:color="auto"/>
            </w:tcBorders>
            <w:shd w:val="clear" w:color="auto" w:fill="auto"/>
            <w:vAlign w:val="center"/>
          </w:tcPr>
          <w:p w:rsidR="00D20BAC" w:rsidRPr="00D20BAC" w:rsidRDefault="00D20BAC" w:rsidP="00D20BAC">
            <w:pPr>
              <w:spacing w:after="0" w:line="240" w:lineRule="auto"/>
              <w:jc w:val="both"/>
              <w:rPr>
                <w:rFonts w:ascii="Arial" w:eastAsia="Times New Roman" w:hAnsi="Arial" w:cs="Arial"/>
                <w:sz w:val="18"/>
                <w:szCs w:val="18"/>
                <w:lang w:eastAsia="es-ES"/>
              </w:rPr>
            </w:pPr>
            <w:r w:rsidRPr="00D20BAC">
              <w:rPr>
                <w:rFonts w:ascii="Arial" w:eastAsia="Times New Roman" w:hAnsi="Arial" w:cs="Arial"/>
                <w:sz w:val="18"/>
                <w:szCs w:val="18"/>
                <w:lang w:eastAsia="es-ES"/>
              </w:rPr>
              <w:t>62</w:t>
            </w:r>
          </w:p>
        </w:tc>
        <w:tc>
          <w:tcPr>
            <w:tcW w:w="366" w:type="pct"/>
            <w:tcBorders>
              <w:top w:val="nil"/>
              <w:left w:val="single" w:sz="4" w:space="0" w:color="auto"/>
              <w:bottom w:val="single" w:sz="4" w:space="0" w:color="auto"/>
              <w:right w:val="single" w:sz="4" w:space="0" w:color="auto"/>
            </w:tcBorders>
            <w:shd w:val="clear" w:color="auto" w:fill="auto"/>
            <w:noWrap/>
            <w:vAlign w:val="center"/>
          </w:tcPr>
          <w:p w:rsidR="00D20BAC" w:rsidRPr="00D20BAC" w:rsidRDefault="00D20BAC" w:rsidP="00D20BAC">
            <w:pPr>
              <w:spacing w:after="0" w:line="240" w:lineRule="auto"/>
              <w:jc w:val="both"/>
              <w:rPr>
                <w:rFonts w:ascii="Arial" w:eastAsia="Times New Roman" w:hAnsi="Arial" w:cs="Arial"/>
                <w:sz w:val="18"/>
                <w:szCs w:val="18"/>
                <w:lang w:eastAsia="es-ES"/>
              </w:rPr>
            </w:pPr>
            <w:r w:rsidRPr="00D20BAC">
              <w:rPr>
                <w:rFonts w:ascii="Arial" w:eastAsia="Times New Roman" w:hAnsi="Arial" w:cs="Arial"/>
                <w:sz w:val="18"/>
                <w:szCs w:val="18"/>
                <w:lang w:eastAsia="es-ES"/>
              </w:rPr>
              <w:t>X</w:t>
            </w:r>
          </w:p>
        </w:tc>
        <w:tc>
          <w:tcPr>
            <w:tcW w:w="444" w:type="pct"/>
            <w:tcBorders>
              <w:top w:val="nil"/>
              <w:left w:val="single" w:sz="4" w:space="0" w:color="auto"/>
              <w:bottom w:val="single" w:sz="4" w:space="0" w:color="auto"/>
              <w:right w:val="single" w:sz="4" w:space="0" w:color="auto"/>
            </w:tcBorders>
            <w:shd w:val="clear" w:color="auto" w:fill="auto"/>
            <w:noWrap/>
            <w:vAlign w:val="center"/>
          </w:tcPr>
          <w:p w:rsidR="00D20BAC" w:rsidRPr="00D20BAC" w:rsidRDefault="00D20BAC" w:rsidP="00D20BAC">
            <w:pPr>
              <w:spacing w:after="0" w:line="240" w:lineRule="auto"/>
              <w:jc w:val="both"/>
              <w:rPr>
                <w:rFonts w:ascii="Arial" w:eastAsia="Times New Roman" w:hAnsi="Arial" w:cs="Arial"/>
                <w:sz w:val="18"/>
                <w:szCs w:val="18"/>
                <w:lang w:eastAsia="es-ES"/>
              </w:rPr>
            </w:pPr>
          </w:p>
        </w:tc>
        <w:tc>
          <w:tcPr>
            <w:tcW w:w="1075" w:type="pct"/>
            <w:tcBorders>
              <w:top w:val="nil"/>
              <w:left w:val="single" w:sz="4" w:space="0" w:color="auto"/>
              <w:bottom w:val="single" w:sz="4" w:space="0" w:color="auto"/>
              <w:right w:val="single" w:sz="8" w:space="0" w:color="auto"/>
            </w:tcBorders>
            <w:shd w:val="clear" w:color="auto" w:fill="auto"/>
            <w:vAlign w:val="center"/>
          </w:tcPr>
          <w:p w:rsidR="00D20BAC" w:rsidRPr="00D20BAC" w:rsidRDefault="00D20BAC" w:rsidP="00D20BAC">
            <w:pPr>
              <w:spacing w:after="0" w:line="240" w:lineRule="auto"/>
              <w:jc w:val="both"/>
              <w:rPr>
                <w:rFonts w:ascii="Arial" w:eastAsia="Times New Roman" w:hAnsi="Arial" w:cs="Arial"/>
                <w:sz w:val="18"/>
                <w:szCs w:val="18"/>
                <w:lang w:eastAsia="es-ES"/>
              </w:rPr>
            </w:pPr>
            <w:r w:rsidRPr="00D20BAC">
              <w:rPr>
                <w:rFonts w:ascii="Arial" w:eastAsia="Times New Roman" w:hAnsi="Arial" w:cs="Arial"/>
                <w:sz w:val="18"/>
                <w:szCs w:val="18"/>
                <w:lang w:eastAsia="es-ES"/>
              </w:rPr>
              <w:t>Se solicitó en reunión a la municipalidad, la corrección de la cartografía del plano de zonificación, viabilidad y mapa oficial.</w:t>
            </w:r>
          </w:p>
          <w:p w:rsidR="00D20BAC" w:rsidRPr="00D20BAC" w:rsidRDefault="00D20BAC" w:rsidP="00D20BAC">
            <w:pPr>
              <w:spacing w:after="0" w:line="240" w:lineRule="auto"/>
              <w:jc w:val="both"/>
              <w:rPr>
                <w:rFonts w:ascii="Arial" w:eastAsia="Times New Roman" w:hAnsi="Arial" w:cs="Arial"/>
                <w:sz w:val="18"/>
                <w:szCs w:val="18"/>
                <w:lang w:eastAsia="es-ES"/>
              </w:rPr>
            </w:pPr>
            <w:r w:rsidRPr="00D20BAC">
              <w:rPr>
                <w:rFonts w:ascii="Arial" w:eastAsia="Times New Roman" w:hAnsi="Arial" w:cs="Arial"/>
                <w:sz w:val="18"/>
                <w:szCs w:val="18"/>
                <w:lang w:eastAsia="es-ES"/>
              </w:rPr>
              <w:t>A diciembre se está a la espera de la entrega de la información.</w:t>
            </w:r>
          </w:p>
        </w:tc>
      </w:tr>
      <w:tr w:rsidR="00D20BAC" w:rsidRPr="00D20BAC" w:rsidTr="00D20BAC">
        <w:trPr>
          <w:trHeight w:val="401"/>
        </w:trPr>
        <w:tc>
          <w:tcPr>
            <w:tcW w:w="213" w:type="pct"/>
            <w:tcBorders>
              <w:top w:val="nil"/>
              <w:left w:val="single" w:sz="8" w:space="0" w:color="auto"/>
              <w:bottom w:val="single" w:sz="4" w:space="0" w:color="auto"/>
              <w:right w:val="single" w:sz="4" w:space="0" w:color="auto"/>
            </w:tcBorders>
            <w:shd w:val="clear" w:color="auto" w:fill="auto"/>
            <w:noWrap/>
            <w:vAlign w:val="center"/>
            <w:hideMark/>
          </w:tcPr>
          <w:p w:rsidR="00D20BAC" w:rsidRPr="00D20BAC" w:rsidRDefault="00D20BAC" w:rsidP="00D20BAC">
            <w:pPr>
              <w:spacing w:after="0" w:line="240" w:lineRule="auto"/>
              <w:jc w:val="both"/>
              <w:rPr>
                <w:rFonts w:ascii="Arial" w:eastAsia="Times New Roman" w:hAnsi="Arial" w:cs="Arial"/>
                <w:sz w:val="18"/>
                <w:szCs w:val="18"/>
                <w:lang w:eastAsia="es-ES"/>
              </w:rPr>
            </w:pPr>
            <w:r w:rsidRPr="00D20BAC">
              <w:rPr>
                <w:rFonts w:ascii="Arial" w:eastAsia="Times New Roman" w:hAnsi="Arial" w:cs="Arial"/>
                <w:sz w:val="18"/>
                <w:szCs w:val="18"/>
                <w:lang w:eastAsia="es-ES"/>
              </w:rPr>
              <w:t>2</w:t>
            </w:r>
          </w:p>
        </w:tc>
        <w:tc>
          <w:tcPr>
            <w:tcW w:w="582" w:type="pct"/>
            <w:tcBorders>
              <w:top w:val="nil"/>
              <w:left w:val="single" w:sz="4" w:space="0" w:color="auto"/>
              <w:bottom w:val="single" w:sz="4" w:space="0" w:color="000000"/>
              <w:right w:val="single" w:sz="4" w:space="0" w:color="auto"/>
            </w:tcBorders>
            <w:shd w:val="clear" w:color="auto" w:fill="auto"/>
            <w:vAlign w:val="center"/>
          </w:tcPr>
          <w:p w:rsidR="00D20BAC" w:rsidRPr="00D20BAC" w:rsidRDefault="00D20BAC" w:rsidP="00D20BAC">
            <w:pPr>
              <w:spacing w:after="0" w:line="240" w:lineRule="auto"/>
              <w:jc w:val="both"/>
              <w:rPr>
                <w:rFonts w:ascii="Arial" w:eastAsia="Times New Roman" w:hAnsi="Arial" w:cs="Arial"/>
                <w:sz w:val="18"/>
                <w:szCs w:val="18"/>
                <w:lang w:eastAsia="es-ES"/>
              </w:rPr>
            </w:pPr>
            <w:r w:rsidRPr="00D20BAC">
              <w:rPr>
                <w:rFonts w:ascii="Arial" w:eastAsia="Times New Roman" w:hAnsi="Arial" w:cs="Arial"/>
                <w:sz w:val="18"/>
                <w:szCs w:val="18"/>
                <w:lang w:eastAsia="es-ES"/>
              </w:rPr>
              <w:t>Naranjo, Alajuela</w:t>
            </w:r>
          </w:p>
        </w:tc>
        <w:tc>
          <w:tcPr>
            <w:tcW w:w="609" w:type="pct"/>
            <w:tcBorders>
              <w:top w:val="nil"/>
              <w:left w:val="nil"/>
              <w:bottom w:val="single" w:sz="4" w:space="0" w:color="auto"/>
              <w:right w:val="single" w:sz="4" w:space="0" w:color="auto"/>
            </w:tcBorders>
            <w:shd w:val="clear" w:color="auto" w:fill="auto"/>
            <w:noWrap/>
            <w:vAlign w:val="center"/>
          </w:tcPr>
          <w:p w:rsidR="00D20BAC" w:rsidRPr="00D20BAC" w:rsidRDefault="00D20BAC" w:rsidP="00D20BAC">
            <w:pPr>
              <w:spacing w:after="0" w:line="240" w:lineRule="auto"/>
              <w:jc w:val="both"/>
              <w:rPr>
                <w:rFonts w:ascii="Arial" w:eastAsia="Times New Roman" w:hAnsi="Arial" w:cs="Arial"/>
                <w:sz w:val="18"/>
                <w:szCs w:val="18"/>
                <w:lang w:eastAsia="es-ES"/>
              </w:rPr>
            </w:pPr>
            <w:r w:rsidRPr="00D20BAC">
              <w:rPr>
                <w:rFonts w:ascii="Arial" w:eastAsia="Times New Roman" w:hAnsi="Arial" w:cs="Arial"/>
                <w:sz w:val="18"/>
                <w:szCs w:val="18"/>
                <w:lang w:eastAsia="es-ES"/>
              </w:rPr>
              <w:t xml:space="preserve">27 Febrero </w:t>
            </w:r>
          </w:p>
        </w:tc>
        <w:tc>
          <w:tcPr>
            <w:tcW w:w="506" w:type="pct"/>
            <w:tcBorders>
              <w:top w:val="nil"/>
              <w:left w:val="nil"/>
              <w:bottom w:val="single" w:sz="4" w:space="0" w:color="auto"/>
              <w:right w:val="single" w:sz="4" w:space="0" w:color="auto"/>
            </w:tcBorders>
            <w:shd w:val="clear" w:color="auto" w:fill="auto"/>
            <w:noWrap/>
            <w:vAlign w:val="center"/>
          </w:tcPr>
          <w:p w:rsidR="00D20BAC" w:rsidRPr="00D20BAC" w:rsidRDefault="00D20BAC" w:rsidP="00D20BAC">
            <w:pPr>
              <w:spacing w:after="0" w:line="240" w:lineRule="auto"/>
              <w:jc w:val="both"/>
              <w:rPr>
                <w:rFonts w:ascii="Arial" w:eastAsia="Times New Roman" w:hAnsi="Arial" w:cs="Arial"/>
                <w:sz w:val="18"/>
                <w:szCs w:val="18"/>
                <w:lang w:eastAsia="es-ES"/>
              </w:rPr>
            </w:pPr>
            <w:r w:rsidRPr="00D20BAC">
              <w:rPr>
                <w:rFonts w:ascii="Arial" w:eastAsia="Times New Roman" w:hAnsi="Arial" w:cs="Arial"/>
                <w:sz w:val="18"/>
                <w:szCs w:val="18"/>
                <w:lang w:eastAsia="es-ES"/>
              </w:rPr>
              <w:t>25 Mayo</w:t>
            </w:r>
          </w:p>
        </w:tc>
        <w:tc>
          <w:tcPr>
            <w:tcW w:w="503" w:type="pct"/>
            <w:tcBorders>
              <w:top w:val="nil"/>
              <w:left w:val="nil"/>
              <w:bottom w:val="single" w:sz="4" w:space="0" w:color="auto"/>
              <w:right w:val="single" w:sz="4" w:space="0" w:color="auto"/>
            </w:tcBorders>
            <w:shd w:val="clear" w:color="auto" w:fill="auto"/>
            <w:noWrap/>
            <w:vAlign w:val="center"/>
          </w:tcPr>
          <w:p w:rsidR="00D20BAC" w:rsidRPr="00D20BAC" w:rsidRDefault="00D20BAC" w:rsidP="00D20BAC">
            <w:pPr>
              <w:spacing w:after="0" w:line="240" w:lineRule="auto"/>
              <w:jc w:val="both"/>
              <w:rPr>
                <w:rFonts w:ascii="Arial" w:eastAsia="Times New Roman" w:hAnsi="Arial" w:cs="Arial"/>
                <w:sz w:val="18"/>
                <w:szCs w:val="18"/>
                <w:lang w:eastAsia="es-ES"/>
              </w:rPr>
            </w:pPr>
          </w:p>
        </w:tc>
        <w:tc>
          <w:tcPr>
            <w:tcW w:w="398" w:type="pct"/>
            <w:tcBorders>
              <w:top w:val="nil"/>
              <w:left w:val="nil"/>
              <w:bottom w:val="single" w:sz="4" w:space="0" w:color="auto"/>
              <w:right w:val="single" w:sz="4" w:space="0" w:color="auto"/>
            </w:tcBorders>
            <w:shd w:val="clear" w:color="auto" w:fill="auto"/>
            <w:noWrap/>
            <w:vAlign w:val="center"/>
          </w:tcPr>
          <w:p w:rsidR="00D20BAC" w:rsidRPr="00D20BAC" w:rsidRDefault="00D20BAC" w:rsidP="00D20BAC">
            <w:pPr>
              <w:spacing w:after="0" w:line="240" w:lineRule="auto"/>
              <w:jc w:val="both"/>
              <w:rPr>
                <w:rFonts w:ascii="Arial" w:eastAsia="Times New Roman" w:hAnsi="Arial" w:cs="Arial"/>
                <w:sz w:val="18"/>
                <w:szCs w:val="18"/>
                <w:lang w:eastAsia="es-ES"/>
              </w:rPr>
            </w:pPr>
            <w:r w:rsidRPr="00D20BAC">
              <w:rPr>
                <w:rFonts w:ascii="Arial" w:eastAsia="Times New Roman" w:hAnsi="Arial" w:cs="Arial"/>
                <w:sz w:val="18"/>
                <w:szCs w:val="18"/>
                <w:lang w:eastAsia="es-ES"/>
              </w:rPr>
              <w:t>X</w:t>
            </w:r>
          </w:p>
        </w:tc>
        <w:tc>
          <w:tcPr>
            <w:tcW w:w="303" w:type="pct"/>
            <w:tcBorders>
              <w:top w:val="nil"/>
              <w:left w:val="nil"/>
              <w:bottom w:val="single" w:sz="4" w:space="0" w:color="auto"/>
              <w:right w:val="single" w:sz="4" w:space="0" w:color="auto"/>
            </w:tcBorders>
            <w:shd w:val="clear" w:color="auto" w:fill="auto"/>
            <w:noWrap/>
            <w:vAlign w:val="center"/>
          </w:tcPr>
          <w:p w:rsidR="00D20BAC" w:rsidRPr="00D20BAC" w:rsidRDefault="00D20BAC" w:rsidP="00D20BAC">
            <w:pPr>
              <w:spacing w:after="0" w:line="240" w:lineRule="auto"/>
              <w:jc w:val="both"/>
              <w:rPr>
                <w:rFonts w:ascii="Arial" w:eastAsia="Times New Roman" w:hAnsi="Arial" w:cs="Arial"/>
                <w:sz w:val="18"/>
                <w:szCs w:val="18"/>
                <w:lang w:eastAsia="es-ES"/>
              </w:rPr>
            </w:pPr>
            <w:r w:rsidRPr="00D20BAC">
              <w:rPr>
                <w:rFonts w:ascii="Arial" w:eastAsia="Times New Roman" w:hAnsi="Arial" w:cs="Arial"/>
                <w:sz w:val="18"/>
                <w:szCs w:val="18"/>
                <w:lang w:eastAsia="es-ES"/>
              </w:rPr>
              <w:t>76</w:t>
            </w:r>
          </w:p>
        </w:tc>
        <w:tc>
          <w:tcPr>
            <w:tcW w:w="366" w:type="pct"/>
            <w:tcBorders>
              <w:top w:val="nil"/>
              <w:left w:val="nil"/>
              <w:bottom w:val="single" w:sz="4" w:space="0" w:color="auto"/>
              <w:right w:val="single" w:sz="4" w:space="0" w:color="auto"/>
            </w:tcBorders>
            <w:shd w:val="clear" w:color="auto" w:fill="auto"/>
            <w:noWrap/>
            <w:vAlign w:val="center"/>
          </w:tcPr>
          <w:p w:rsidR="00D20BAC" w:rsidRPr="00D20BAC" w:rsidRDefault="00D20BAC" w:rsidP="00D20BAC">
            <w:pPr>
              <w:spacing w:after="0" w:line="240" w:lineRule="auto"/>
              <w:jc w:val="both"/>
              <w:rPr>
                <w:rFonts w:ascii="Arial" w:eastAsia="Times New Roman" w:hAnsi="Arial" w:cs="Arial"/>
                <w:sz w:val="18"/>
                <w:szCs w:val="18"/>
                <w:lang w:eastAsia="es-ES"/>
              </w:rPr>
            </w:pPr>
            <w:r w:rsidRPr="00D20BAC">
              <w:rPr>
                <w:rFonts w:ascii="Arial" w:eastAsia="Times New Roman" w:hAnsi="Arial" w:cs="Arial"/>
                <w:sz w:val="18"/>
                <w:szCs w:val="18"/>
                <w:lang w:eastAsia="es-ES"/>
              </w:rPr>
              <w:t>X</w:t>
            </w:r>
          </w:p>
        </w:tc>
        <w:tc>
          <w:tcPr>
            <w:tcW w:w="444" w:type="pct"/>
            <w:tcBorders>
              <w:top w:val="nil"/>
              <w:left w:val="single" w:sz="4" w:space="0" w:color="auto"/>
              <w:bottom w:val="single" w:sz="4" w:space="0" w:color="000000"/>
              <w:right w:val="single" w:sz="4" w:space="0" w:color="auto"/>
            </w:tcBorders>
            <w:shd w:val="clear" w:color="auto" w:fill="auto"/>
            <w:vAlign w:val="center"/>
          </w:tcPr>
          <w:p w:rsidR="00D20BAC" w:rsidRPr="00D20BAC" w:rsidRDefault="00D20BAC" w:rsidP="00D20BAC">
            <w:pPr>
              <w:spacing w:after="0" w:line="240" w:lineRule="auto"/>
              <w:jc w:val="both"/>
              <w:rPr>
                <w:rFonts w:ascii="Arial" w:eastAsia="Times New Roman" w:hAnsi="Arial" w:cs="Arial"/>
                <w:sz w:val="18"/>
                <w:szCs w:val="18"/>
                <w:lang w:eastAsia="es-ES"/>
              </w:rPr>
            </w:pPr>
          </w:p>
        </w:tc>
        <w:tc>
          <w:tcPr>
            <w:tcW w:w="1075" w:type="pct"/>
            <w:tcBorders>
              <w:top w:val="nil"/>
              <w:left w:val="single" w:sz="4" w:space="0" w:color="auto"/>
              <w:bottom w:val="single" w:sz="4" w:space="0" w:color="auto"/>
              <w:right w:val="single" w:sz="8" w:space="0" w:color="auto"/>
            </w:tcBorders>
            <w:shd w:val="clear" w:color="auto" w:fill="auto"/>
            <w:vAlign w:val="center"/>
          </w:tcPr>
          <w:p w:rsidR="00D20BAC" w:rsidRPr="00D20BAC" w:rsidRDefault="00D20BAC" w:rsidP="00D20BAC">
            <w:pPr>
              <w:spacing w:after="0" w:line="240" w:lineRule="auto"/>
              <w:jc w:val="both"/>
              <w:rPr>
                <w:rFonts w:ascii="Arial" w:eastAsia="Times New Roman" w:hAnsi="Arial" w:cs="Arial"/>
                <w:sz w:val="18"/>
                <w:szCs w:val="18"/>
                <w:lang w:eastAsia="es-ES"/>
              </w:rPr>
            </w:pPr>
            <w:r w:rsidRPr="00D20BAC">
              <w:rPr>
                <w:rFonts w:ascii="Arial" w:eastAsia="Times New Roman" w:hAnsi="Arial" w:cs="Arial"/>
                <w:sz w:val="18"/>
                <w:szCs w:val="18"/>
                <w:lang w:eastAsia="es-ES"/>
              </w:rPr>
              <w:t>Se solicitó la tabla de restricciones urbanísticas, para el proceso de revisión, la cual se recibió a finales de agosto.</w:t>
            </w:r>
          </w:p>
          <w:p w:rsidR="00D20BAC" w:rsidRPr="00D20BAC" w:rsidRDefault="00D20BAC" w:rsidP="00D20BAC">
            <w:pPr>
              <w:spacing w:after="0" w:line="240" w:lineRule="auto"/>
              <w:jc w:val="both"/>
              <w:rPr>
                <w:rFonts w:ascii="Arial" w:eastAsia="Times New Roman" w:hAnsi="Arial" w:cs="Arial"/>
                <w:sz w:val="18"/>
                <w:szCs w:val="18"/>
                <w:lang w:eastAsia="es-ES"/>
              </w:rPr>
            </w:pPr>
            <w:r w:rsidRPr="00D20BAC">
              <w:rPr>
                <w:rFonts w:ascii="Arial" w:eastAsia="Times New Roman" w:hAnsi="Arial" w:cs="Arial"/>
                <w:sz w:val="18"/>
                <w:szCs w:val="18"/>
                <w:lang w:eastAsia="es-ES"/>
              </w:rPr>
              <w:t>Se remitieron las observaciones al municipio, mediante oficio DU-UCTOT-149-2017, el 15 de diciembre 2017.</w:t>
            </w:r>
          </w:p>
        </w:tc>
      </w:tr>
      <w:tr w:rsidR="00D20BAC" w:rsidRPr="00D20BAC" w:rsidTr="00D20BAC">
        <w:trPr>
          <w:trHeight w:val="528"/>
        </w:trPr>
        <w:tc>
          <w:tcPr>
            <w:tcW w:w="213" w:type="pct"/>
            <w:tcBorders>
              <w:top w:val="nil"/>
              <w:left w:val="single" w:sz="8" w:space="0" w:color="auto"/>
              <w:bottom w:val="single" w:sz="4" w:space="0" w:color="auto"/>
              <w:right w:val="single" w:sz="4" w:space="0" w:color="auto"/>
            </w:tcBorders>
            <w:shd w:val="clear" w:color="auto" w:fill="auto"/>
            <w:noWrap/>
            <w:vAlign w:val="center"/>
            <w:hideMark/>
          </w:tcPr>
          <w:p w:rsidR="00D20BAC" w:rsidRPr="00D20BAC" w:rsidRDefault="00D20BAC" w:rsidP="00D20BAC">
            <w:pPr>
              <w:spacing w:after="0" w:line="240" w:lineRule="auto"/>
              <w:jc w:val="both"/>
              <w:rPr>
                <w:rFonts w:ascii="Arial" w:eastAsia="Times New Roman" w:hAnsi="Arial" w:cs="Arial"/>
                <w:sz w:val="18"/>
                <w:szCs w:val="18"/>
                <w:lang w:eastAsia="es-ES"/>
              </w:rPr>
            </w:pPr>
            <w:r w:rsidRPr="00D20BAC">
              <w:rPr>
                <w:rFonts w:ascii="Arial" w:eastAsia="Times New Roman" w:hAnsi="Arial" w:cs="Arial"/>
                <w:sz w:val="18"/>
                <w:szCs w:val="18"/>
                <w:lang w:eastAsia="es-ES"/>
              </w:rPr>
              <w:t>3</w:t>
            </w:r>
          </w:p>
        </w:tc>
        <w:tc>
          <w:tcPr>
            <w:tcW w:w="582" w:type="pct"/>
            <w:tcBorders>
              <w:top w:val="nil"/>
              <w:left w:val="nil"/>
              <w:bottom w:val="single" w:sz="4" w:space="0" w:color="auto"/>
              <w:right w:val="single" w:sz="4" w:space="0" w:color="auto"/>
            </w:tcBorders>
            <w:shd w:val="clear" w:color="auto" w:fill="auto"/>
            <w:noWrap/>
            <w:vAlign w:val="center"/>
          </w:tcPr>
          <w:p w:rsidR="00D20BAC" w:rsidRPr="00D20BAC" w:rsidRDefault="00D20BAC" w:rsidP="00D20BAC">
            <w:pPr>
              <w:spacing w:after="0" w:line="240" w:lineRule="auto"/>
              <w:jc w:val="both"/>
              <w:rPr>
                <w:rFonts w:ascii="Arial" w:eastAsia="Times New Roman" w:hAnsi="Arial" w:cs="Arial"/>
                <w:sz w:val="18"/>
                <w:szCs w:val="18"/>
                <w:lang w:eastAsia="es-ES"/>
              </w:rPr>
            </w:pPr>
            <w:r w:rsidRPr="00D20BAC">
              <w:rPr>
                <w:rFonts w:ascii="Arial" w:eastAsia="Times New Roman" w:hAnsi="Arial" w:cs="Arial"/>
                <w:sz w:val="18"/>
                <w:szCs w:val="18"/>
                <w:lang w:eastAsia="es-ES"/>
              </w:rPr>
              <w:t>Playa Tivives, Esparza</w:t>
            </w:r>
          </w:p>
        </w:tc>
        <w:tc>
          <w:tcPr>
            <w:tcW w:w="609" w:type="pct"/>
            <w:tcBorders>
              <w:top w:val="nil"/>
              <w:left w:val="nil"/>
              <w:bottom w:val="single" w:sz="4" w:space="0" w:color="auto"/>
              <w:right w:val="single" w:sz="4" w:space="0" w:color="auto"/>
            </w:tcBorders>
            <w:shd w:val="clear" w:color="auto" w:fill="auto"/>
            <w:noWrap/>
            <w:vAlign w:val="center"/>
          </w:tcPr>
          <w:p w:rsidR="00D20BAC" w:rsidRPr="00D20BAC" w:rsidRDefault="00D20BAC" w:rsidP="00D20BAC">
            <w:pPr>
              <w:spacing w:after="0" w:line="240" w:lineRule="auto"/>
              <w:jc w:val="both"/>
              <w:rPr>
                <w:rFonts w:ascii="Arial" w:eastAsia="Times New Roman" w:hAnsi="Arial" w:cs="Arial"/>
                <w:sz w:val="18"/>
                <w:szCs w:val="18"/>
                <w:lang w:eastAsia="es-ES"/>
              </w:rPr>
            </w:pPr>
            <w:r w:rsidRPr="00D20BAC">
              <w:rPr>
                <w:rFonts w:ascii="Arial" w:eastAsia="Times New Roman" w:hAnsi="Arial" w:cs="Arial"/>
                <w:sz w:val="18"/>
                <w:szCs w:val="18"/>
                <w:lang w:eastAsia="es-ES"/>
              </w:rPr>
              <w:t>15 Febrero</w:t>
            </w:r>
          </w:p>
        </w:tc>
        <w:tc>
          <w:tcPr>
            <w:tcW w:w="506" w:type="pct"/>
            <w:tcBorders>
              <w:top w:val="nil"/>
              <w:left w:val="nil"/>
              <w:bottom w:val="single" w:sz="4" w:space="0" w:color="auto"/>
              <w:right w:val="single" w:sz="4" w:space="0" w:color="auto"/>
            </w:tcBorders>
            <w:shd w:val="clear" w:color="auto" w:fill="auto"/>
            <w:noWrap/>
            <w:vAlign w:val="center"/>
          </w:tcPr>
          <w:p w:rsidR="00D20BAC" w:rsidRPr="00D20BAC" w:rsidRDefault="00D20BAC" w:rsidP="00D20BAC">
            <w:pPr>
              <w:spacing w:after="0" w:line="240" w:lineRule="auto"/>
              <w:jc w:val="both"/>
              <w:rPr>
                <w:rFonts w:ascii="Arial" w:eastAsia="Times New Roman" w:hAnsi="Arial" w:cs="Arial"/>
                <w:sz w:val="18"/>
                <w:szCs w:val="18"/>
                <w:lang w:eastAsia="es-ES"/>
              </w:rPr>
            </w:pPr>
            <w:r w:rsidRPr="00D20BAC">
              <w:rPr>
                <w:rFonts w:ascii="Arial" w:eastAsia="Times New Roman" w:hAnsi="Arial" w:cs="Arial"/>
                <w:sz w:val="18"/>
                <w:szCs w:val="18"/>
                <w:lang w:eastAsia="es-ES"/>
              </w:rPr>
              <w:t>28 Abril</w:t>
            </w:r>
          </w:p>
        </w:tc>
        <w:tc>
          <w:tcPr>
            <w:tcW w:w="503" w:type="pct"/>
            <w:tcBorders>
              <w:top w:val="nil"/>
              <w:left w:val="nil"/>
              <w:bottom w:val="single" w:sz="4" w:space="0" w:color="auto"/>
              <w:right w:val="single" w:sz="4" w:space="0" w:color="auto"/>
            </w:tcBorders>
            <w:shd w:val="clear" w:color="auto" w:fill="auto"/>
            <w:noWrap/>
            <w:vAlign w:val="center"/>
          </w:tcPr>
          <w:p w:rsidR="00D20BAC" w:rsidRPr="00D20BAC" w:rsidRDefault="00D20BAC" w:rsidP="00D20BAC">
            <w:pPr>
              <w:spacing w:after="0" w:line="240" w:lineRule="auto"/>
              <w:jc w:val="both"/>
              <w:rPr>
                <w:rFonts w:ascii="Arial" w:eastAsia="Times New Roman" w:hAnsi="Arial" w:cs="Arial"/>
                <w:sz w:val="18"/>
                <w:szCs w:val="18"/>
                <w:lang w:eastAsia="es-ES"/>
              </w:rPr>
            </w:pPr>
            <w:r w:rsidRPr="00D20BAC">
              <w:rPr>
                <w:rFonts w:ascii="Arial" w:eastAsia="Times New Roman" w:hAnsi="Arial" w:cs="Arial"/>
                <w:sz w:val="18"/>
                <w:szCs w:val="18"/>
                <w:lang w:eastAsia="es-ES"/>
              </w:rPr>
              <w:t>X</w:t>
            </w:r>
          </w:p>
        </w:tc>
        <w:tc>
          <w:tcPr>
            <w:tcW w:w="398" w:type="pct"/>
            <w:tcBorders>
              <w:top w:val="nil"/>
              <w:left w:val="nil"/>
              <w:bottom w:val="single" w:sz="4" w:space="0" w:color="auto"/>
              <w:right w:val="single" w:sz="4" w:space="0" w:color="auto"/>
            </w:tcBorders>
            <w:shd w:val="clear" w:color="auto" w:fill="auto"/>
            <w:noWrap/>
            <w:vAlign w:val="center"/>
          </w:tcPr>
          <w:p w:rsidR="00D20BAC" w:rsidRPr="00D20BAC" w:rsidRDefault="00D20BAC" w:rsidP="00D20BAC">
            <w:pPr>
              <w:spacing w:after="0" w:line="240" w:lineRule="auto"/>
              <w:jc w:val="both"/>
              <w:rPr>
                <w:rFonts w:ascii="Arial" w:eastAsia="Times New Roman" w:hAnsi="Arial" w:cs="Arial"/>
                <w:sz w:val="18"/>
                <w:szCs w:val="18"/>
                <w:lang w:eastAsia="es-ES"/>
              </w:rPr>
            </w:pPr>
          </w:p>
        </w:tc>
        <w:tc>
          <w:tcPr>
            <w:tcW w:w="303" w:type="pct"/>
            <w:tcBorders>
              <w:top w:val="nil"/>
              <w:left w:val="nil"/>
              <w:bottom w:val="single" w:sz="4" w:space="0" w:color="auto"/>
              <w:right w:val="single" w:sz="4" w:space="0" w:color="auto"/>
            </w:tcBorders>
            <w:shd w:val="clear" w:color="auto" w:fill="auto"/>
            <w:noWrap/>
            <w:vAlign w:val="center"/>
          </w:tcPr>
          <w:p w:rsidR="00D20BAC" w:rsidRPr="00D20BAC" w:rsidRDefault="00D20BAC" w:rsidP="00D20BAC">
            <w:pPr>
              <w:spacing w:after="0" w:line="240" w:lineRule="auto"/>
              <w:jc w:val="both"/>
              <w:rPr>
                <w:rFonts w:ascii="Arial" w:eastAsia="Times New Roman" w:hAnsi="Arial" w:cs="Arial"/>
                <w:sz w:val="18"/>
                <w:szCs w:val="18"/>
                <w:lang w:eastAsia="es-ES"/>
              </w:rPr>
            </w:pPr>
            <w:r w:rsidRPr="00D20BAC">
              <w:rPr>
                <w:rFonts w:ascii="Arial" w:eastAsia="Times New Roman" w:hAnsi="Arial" w:cs="Arial"/>
                <w:sz w:val="18"/>
                <w:szCs w:val="18"/>
                <w:lang w:eastAsia="es-ES"/>
              </w:rPr>
              <w:t>45</w:t>
            </w:r>
          </w:p>
        </w:tc>
        <w:tc>
          <w:tcPr>
            <w:tcW w:w="366" w:type="pct"/>
            <w:tcBorders>
              <w:top w:val="nil"/>
              <w:left w:val="nil"/>
              <w:bottom w:val="single" w:sz="4" w:space="0" w:color="auto"/>
              <w:right w:val="single" w:sz="4" w:space="0" w:color="auto"/>
            </w:tcBorders>
            <w:shd w:val="clear" w:color="auto" w:fill="auto"/>
            <w:noWrap/>
            <w:vAlign w:val="center"/>
          </w:tcPr>
          <w:p w:rsidR="00D20BAC" w:rsidRPr="00D20BAC" w:rsidRDefault="00D20BAC" w:rsidP="00D20BAC">
            <w:pPr>
              <w:spacing w:after="0" w:line="240" w:lineRule="auto"/>
              <w:jc w:val="both"/>
              <w:rPr>
                <w:rFonts w:ascii="Arial" w:eastAsia="Times New Roman" w:hAnsi="Arial" w:cs="Arial"/>
                <w:sz w:val="18"/>
                <w:szCs w:val="18"/>
                <w:lang w:eastAsia="es-ES"/>
              </w:rPr>
            </w:pPr>
          </w:p>
        </w:tc>
        <w:tc>
          <w:tcPr>
            <w:tcW w:w="444" w:type="pct"/>
            <w:tcBorders>
              <w:top w:val="nil"/>
              <w:left w:val="nil"/>
              <w:bottom w:val="single" w:sz="4" w:space="0" w:color="auto"/>
              <w:right w:val="single" w:sz="4" w:space="0" w:color="auto"/>
            </w:tcBorders>
            <w:shd w:val="clear" w:color="auto" w:fill="auto"/>
            <w:noWrap/>
            <w:vAlign w:val="center"/>
          </w:tcPr>
          <w:p w:rsidR="00D20BAC" w:rsidRPr="00D20BAC" w:rsidRDefault="00D20BAC" w:rsidP="00D20BAC">
            <w:pPr>
              <w:spacing w:after="0" w:line="240" w:lineRule="auto"/>
              <w:jc w:val="both"/>
              <w:rPr>
                <w:rFonts w:ascii="Arial" w:eastAsia="Times New Roman" w:hAnsi="Arial" w:cs="Arial"/>
                <w:sz w:val="18"/>
                <w:szCs w:val="18"/>
                <w:lang w:eastAsia="es-ES"/>
              </w:rPr>
            </w:pPr>
            <w:r w:rsidRPr="00D20BAC">
              <w:rPr>
                <w:rFonts w:ascii="Arial" w:eastAsia="Times New Roman" w:hAnsi="Arial" w:cs="Arial"/>
                <w:sz w:val="18"/>
                <w:szCs w:val="18"/>
                <w:lang w:eastAsia="es-ES"/>
              </w:rPr>
              <w:t>X</w:t>
            </w:r>
          </w:p>
        </w:tc>
        <w:tc>
          <w:tcPr>
            <w:tcW w:w="1075" w:type="pct"/>
            <w:tcBorders>
              <w:top w:val="nil"/>
              <w:left w:val="nil"/>
              <w:bottom w:val="single" w:sz="4" w:space="0" w:color="auto"/>
              <w:right w:val="single" w:sz="8" w:space="0" w:color="auto"/>
            </w:tcBorders>
            <w:shd w:val="clear" w:color="auto" w:fill="auto"/>
            <w:vAlign w:val="bottom"/>
          </w:tcPr>
          <w:p w:rsidR="00D20BAC" w:rsidRPr="00D20BAC" w:rsidRDefault="00D20BAC" w:rsidP="00D20BAC">
            <w:pPr>
              <w:spacing w:after="0" w:line="240" w:lineRule="auto"/>
              <w:jc w:val="both"/>
              <w:rPr>
                <w:rFonts w:ascii="Arial" w:eastAsia="Times New Roman" w:hAnsi="Arial" w:cs="Arial"/>
                <w:sz w:val="18"/>
                <w:szCs w:val="18"/>
                <w:lang w:eastAsia="es-ES"/>
              </w:rPr>
            </w:pPr>
            <w:r w:rsidRPr="00D20BAC">
              <w:rPr>
                <w:rFonts w:ascii="Arial" w:eastAsia="Times New Roman" w:hAnsi="Arial" w:cs="Arial"/>
                <w:sz w:val="18"/>
                <w:szCs w:val="18"/>
                <w:lang w:eastAsia="es-ES"/>
              </w:rPr>
              <w:t>Se solicitó mediante oficio UCTOT-039-2017, del 28 de abril el cumplimiento de la nueva  demarcatoria del patrimonio nacional del estado.</w:t>
            </w:r>
          </w:p>
          <w:p w:rsidR="00D20BAC" w:rsidRPr="00D20BAC" w:rsidRDefault="00D20BAC" w:rsidP="00D20BAC">
            <w:pPr>
              <w:spacing w:after="0" w:line="240" w:lineRule="auto"/>
              <w:jc w:val="both"/>
              <w:rPr>
                <w:rFonts w:ascii="Arial" w:eastAsia="Times New Roman" w:hAnsi="Arial" w:cs="Arial"/>
                <w:sz w:val="18"/>
                <w:szCs w:val="18"/>
                <w:lang w:eastAsia="es-ES"/>
              </w:rPr>
            </w:pPr>
            <w:r w:rsidRPr="00D20BAC">
              <w:rPr>
                <w:rFonts w:ascii="Arial" w:eastAsia="Times New Roman" w:hAnsi="Arial" w:cs="Arial"/>
                <w:sz w:val="18"/>
                <w:szCs w:val="18"/>
                <w:lang w:eastAsia="es-ES"/>
              </w:rPr>
              <w:t>Se recibe corregido el 08 de junio y se aprueba con oficio DU-UCTOT-087-2017, del 10 de agosto.</w:t>
            </w:r>
          </w:p>
          <w:p w:rsidR="00D20BAC" w:rsidRPr="00D20BAC" w:rsidRDefault="00D20BAC" w:rsidP="00D20BAC">
            <w:pPr>
              <w:spacing w:after="0" w:line="240" w:lineRule="auto"/>
              <w:jc w:val="both"/>
              <w:rPr>
                <w:rFonts w:ascii="Arial" w:eastAsia="Times New Roman" w:hAnsi="Arial" w:cs="Arial"/>
                <w:sz w:val="18"/>
                <w:szCs w:val="18"/>
                <w:lang w:eastAsia="es-ES"/>
              </w:rPr>
            </w:pPr>
            <w:r w:rsidRPr="00D20BAC">
              <w:rPr>
                <w:rFonts w:ascii="Arial" w:eastAsia="Times New Roman" w:hAnsi="Arial" w:cs="Arial"/>
                <w:sz w:val="18"/>
                <w:szCs w:val="18"/>
                <w:lang w:eastAsia="es-ES"/>
              </w:rPr>
              <w:t>A la espera del análisis de las observaciones de la comisión municipal, para su aprobación, ya que el municipio realizó la audiencia pública.</w:t>
            </w:r>
          </w:p>
          <w:p w:rsidR="00D20BAC" w:rsidRPr="00D20BAC" w:rsidRDefault="00D20BAC" w:rsidP="00D20BAC">
            <w:pPr>
              <w:spacing w:after="0" w:line="240" w:lineRule="auto"/>
              <w:jc w:val="both"/>
              <w:rPr>
                <w:rFonts w:ascii="Arial" w:eastAsia="Times New Roman" w:hAnsi="Arial" w:cs="Arial"/>
                <w:sz w:val="18"/>
                <w:szCs w:val="18"/>
                <w:lang w:eastAsia="es-ES"/>
              </w:rPr>
            </w:pPr>
          </w:p>
        </w:tc>
      </w:tr>
      <w:tr w:rsidR="00D20BAC" w:rsidRPr="00D20BAC" w:rsidTr="00D20BAC">
        <w:trPr>
          <w:trHeight w:val="182"/>
        </w:trPr>
        <w:tc>
          <w:tcPr>
            <w:tcW w:w="2812" w:type="pct"/>
            <w:gridSpan w:val="6"/>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D20BAC" w:rsidRPr="00D20BAC" w:rsidRDefault="00D20BAC" w:rsidP="00D20BAC">
            <w:pPr>
              <w:spacing w:after="0" w:line="240" w:lineRule="auto"/>
              <w:jc w:val="both"/>
              <w:rPr>
                <w:rFonts w:ascii="Arial" w:eastAsia="Times New Roman" w:hAnsi="Arial" w:cs="Arial"/>
                <w:sz w:val="18"/>
                <w:szCs w:val="18"/>
                <w:lang w:eastAsia="es-ES"/>
              </w:rPr>
            </w:pPr>
            <w:r w:rsidRPr="00D20BAC">
              <w:rPr>
                <w:rFonts w:ascii="Arial" w:eastAsia="Times New Roman" w:hAnsi="Arial" w:cs="Arial"/>
                <w:sz w:val="18"/>
                <w:szCs w:val="18"/>
                <w:lang w:eastAsia="es-ES"/>
              </w:rPr>
              <w:t>Total de Días Hábiles</w:t>
            </w:r>
          </w:p>
        </w:tc>
        <w:tc>
          <w:tcPr>
            <w:tcW w:w="303" w:type="pct"/>
            <w:tcBorders>
              <w:top w:val="nil"/>
              <w:left w:val="nil"/>
              <w:bottom w:val="single" w:sz="4" w:space="0" w:color="auto"/>
              <w:right w:val="single" w:sz="4" w:space="0" w:color="auto"/>
            </w:tcBorders>
            <w:shd w:val="clear" w:color="auto" w:fill="auto"/>
            <w:noWrap/>
            <w:vAlign w:val="bottom"/>
          </w:tcPr>
          <w:p w:rsidR="00D20BAC" w:rsidRPr="00D20BAC" w:rsidRDefault="00D20BAC" w:rsidP="00D20BAC">
            <w:pPr>
              <w:spacing w:after="0" w:line="240" w:lineRule="auto"/>
              <w:jc w:val="both"/>
              <w:rPr>
                <w:rFonts w:ascii="Arial" w:eastAsia="Times New Roman" w:hAnsi="Arial" w:cs="Arial"/>
                <w:sz w:val="18"/>
                <w:szCs w:val="18"/>
                <w:lang w:eastAsia="es-ES"/>
              </w:rPr>
            </w:pPr>
            <w:r w:rsidRPr="00D20BAC">
              <w:rPr>
                <w:rFonts w:ascii="Arial" w:eastAsia="Times New Roman" w:hAnsi="Arial" w:cs="Arial"/>
                <w:sz w:val="18"/>
                <w:szCs w:val="18"/>
                <w:lang w:eastAsia="es-ES"/>
              </w:rPr>
              <w:t>183</w:t>
            </w:r>
          </w:p>
        </w:tc>
        <w:tc>
          <w:tcPr>
            <w:tcW w:w="366" w:type="pct"/>
            <w:tcBorders>
              <w:top w:val="nil"/>
              <w:left w:val="nil"/>
              <w:bottom w:val="single" w:sz="4" w:space="0" w:color="auto"/>
              <w:right w:val="single" w:sz="4" w:space="0" w:color="auto"/>
            </w:tcBorders>
            <w:shd w:val="clear" w:color="auto" w:fill="auto"/>
            <w:noWrap/>
            <w:vAlign w:val="bottom"/>
          </w:tcPr>
          <w:p w:rsidR="00D20BAC" w:rsidRPr="00D20BAC" w:rsidRDefault="00D20BAC" w:rsidP="00D20BAC">
            <w:pPr>
              <w:spacing w:after="0" w:line="240" w:lineRule="auto"/>
              <w:jc w:val="both"/>
              <w:rPr>
                <w:rFonts w:ascii="Arial" w:eastAsia="Times New Roman" w:hAnsi="Arial" w:cs="Arial"/>
                <w:sz w:val="18"/>
                <w:szCs w:val="18"/>
                <w:lang w:eastAsia="es-ES"/>
              </w:rPr>
            </w:pPr>
          </w:p>
        </w:tc>
        <w:tc>
          <w:tcPr>
            <w:tcW w:w="444" w:type="pct"/>
            <w:tcBorders>
              <w:top w:val="nil"/>
              <w:left w:val="nil"/>
              <w:bottom w:val="single" w:sz="4" w:space="0" w:color="auto"/>
              <w:right w:val="single" w:sz="4" w:space="0" w:color="auto"/>
            </w:tcBorders>
            <w:shd w:val="clear" w:color="auto" w:fill="auto"/>
            <w:noWrap/>
            <w:vAlign w:val="bottom"/>
          </w:tcPr>
          <w:p w:rsidR="00D20BAC" w:rsidRPr="00D20BAC" w:rsidRDefault="00D20BAC" w:rsidP="00D20BAC">
            <w:pPr>
              <w:spacing w:after="0" w:line="240" w:lineRule="auto"/>
              <w:jc w:val="both"/>
              <w:rPr>
                <w:rFonts w:ascii="Arial" w:eastAsia="Times New Roman" w:hAnsi="Arial" w:cs="Arial"/>
                <w:sz w:val="18"/>
                <w:szCs w:val="18"/>
                <w:lang w:eastAsia="es-ES"/>
              </w:rPr>
            </w:pPr>
          </w:p>
        </w:tc>
        <w:tc>
          <w:tcPr>
            <w:tcW w:w="1075" w:type="pct"/>
            <w:tcBorders>
              <w:top w:val="nil"/>
              <w:left w:val="nil"/>
              <w:bottom w:val="single" w:sz="4" w:space="0" w:color="auto"/>
              <w:right w:val="single" w:sz="8" w:space="0" w:color="auto"/>
            </w:tcBorders>
            <w:shd w:val="clear" w:color="auto" w:fill="auto"/>
            <w:noWrap/>
            <w:vAlign w:val="bottom"/>
            <w:hideMark/>
          </w:tcPr>
          <w:p w:rsidR="00D20BAC" w:rsidRPr="00D20BAC" w:rsidRDefault="00D20BAC" w:rsidP="00D20BAC">
            <w:pPr>
              <w:spacing w:after="0" w:line="240" w:lineRule="auto"/>
              <w:jc w:val="both"/>
              <w:rPr>
                <w:rFonts w:ascii="Arial" w:eastAsia="Times New Roman" w:hAnsi="Arial" w:cs="Arial"/>
                <w:sz w:val="18"/>
                <w:szCs w:val="18"/>
                <w:lang w:eastAsia="es-ES"/>
              </w:rPr>
            </w:pPr>
            <w:r w:rsidRPr="00D20BAC">
              <w:rPr>
                <w:rFonts w:ascii="Arial" w:eastAsia="Times New Roman" w:hAnsi="Arial" w:cs="Arial"/>
                <w:sz w:val="18"/>
                <w:szCs w:val="18"/>
                <w:lang w:eastAsia="es-ES"/>
              </w:rPr>
              <w:t> </w:t>
            </w:r>
          </w:p>
        </w:tc>
      </w:tr>
      <w:tr w:rsidR="00D20BAC" w:rsidRPr="00D20BAC" w:rsidTr="00D20BAC">
        <w:trPr>
          <w:trHeight w:val="182"/>
        </w:trPr>
        <w:tc>
          <w:tcPr>
            <w:tcW w:w="2812" w:type="pct"/>
            <w:gridSpan w:val="6"/>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20BAC" w:rsidRPr="00D20BAC" w:rsidRDefault="00D20BAC" w:rsidP="00D20BAC">
            <w:pPr>
              <w:spacing w:after="0" w:line="240" w:lineRule="auto"/>
              <w:jc w:val="both"/>
              <w:rPr>
                <w:rFonts w:ascii="Arial" w:eastAsia="Times New Roman" w:hAnsi="Arial" w:cs="Arial"/>
                <w:sz w:val="18"/>
                <w:szCs w:val="18"/>
                <w:lang w:eastAsia="es-ES"/>
              </w:rPr>
            </w:pPr>
            <w:r w:rsidRPr="00D20BAC">
              <w:rPr>
                <w:rFonts w:ascii="Arial" w:eastAsia="Times New Roman" w:hAnsi="Arial" w:cs="Arial"/>
                <w:sz w:val="18"/>
                <w:szCs w:val="18"/>
                <w:lang w:eastAsia="es-ES"/>
              </w:rPr>
              <w:t>Número de Planes Reguladores</w:t>
            </w:r>
          </w:p>
        </w:tc>
        <w:tc>
          <w:tcPr>
            <w:tcW w:w="303" w:type="pct"/>
            <w:tcBorders>
              <w:top w:val="nil"/>
              <w:left w:val="nil"/>
              <w:bottom w:val="single" w:sz="4" w:space="0" w:color="auto"/>
              <w:right w:val="single" w:sz="4" w:space="0" w:color="auto"/>
            </w:tcBorders>
            <w:shd w:val="clear" w:color="auto" w:fill="auto"/>
            <w:noWrap/>
            <w:vAlign w:val="bottom"/>
          </w:tcPr>
          <w:p w:rsidR="00D20BAC" w:rsidRPr="00D20BAC" w:rsidRDefault="00D20BAC" w:rsidP="00D20BAC">
            <w:pPr>
              <w:spacing w:after="0" w:line="240" w:lineRule="auto"/>
              <w:jc w:val="both"/>
              <w:rPr>
                <w:rFonts w:ascii="Arial" w:eastAsia="Times New Roman" w:hAnsi="Arial" w:cs="Arial"/>
                <w:sz w:val="18"/>
                <w:szCs w:val="18"/>
                <w:lang w:eastAsia="es-ES"/>
              </w:rPr>
            </w:pPr>
            <w:r w:rsidRPr="00D20BAC">
              <w:rPr>
                <w:rFonts w:ascii="Arial" w:eastAsia="Times New Roman" w:hAnsi="Arial" w:cs="Arial"/>
                <w:sz w:val="18"/>
                <w:szCs w:val="18"/>
                <w:lang w:eastAsia="es-ES"/>
              </w:rPr>
              <w:t>3</w:t>
            </w:r>
          </w:p>
        </w:tc>
        <w:tc>
          <w:tcPr>
            <w:tcW w:w="366" w:type="pct"/>
            <w:tcBorders>
              <w:top w:val="nil"/>
              <w:left w:val="nil"/>
              <w:bottom w:val="single" w:sz="4" w:space="0" w:color="auto"/>
              <w:right w:val="single" w:sz="4" w:space="0" w:color="auto"/>
            </w:tcBorders>
            <w:shd w:val="clear" w:color="auto" w:fill="auto"/>
            <w:noWrap/>
            <w:vAlign w:val="bottom"/>
          </w:tcPr>
          <w:p w:rsidR="00D20BAC" w:rsidRPr="00D20BAC" w:rsidRDefault="00D20BAC" w:rsidP="00D20BAC">
            <w:pPr>
              <w:spacing w:after="0" w:line="240" w:lineRule="auto"/>
              <w:jc w:val="both"/>
              <w:rPr>
                <w:rFonts w:ascii="Arial" w:eastAsia="Times New Roman" w:hAnsi="Arial" w:cs="Arial"/>
                <w:sz w:val="18"/>
                <w:szCs w:val="18"/>
                <w:lang w:eastAsia="es-ES"/>
              </w:rPr>
            </w:pPr>
          </w:p>
        </w:tc>
        <w:tc>
          <w:tcPr>
            <w:tcW w:w="444" w:type="pct"/>
            <w:tcBorders>
              <w:top w:val="nil"/>
              <w:left w:val="nil"/>
              <w:bottom w:val="single" w:sz="4" w:space="0" w:color="auto"/>
              <w:right w:val="single" w:sz="4" w:space="0" w:color="auto"/>
            </w:tcBorders>
            <w:shd w:val="clear" w:color="auto" w:fill="auto"/>
            <w:noWrap/>
            <w:vAlign w:val="bottom"/>
          </w:tcPr>
          <w:p w:rsidR="00D20BAC" w:rsidRPr="00D20BAC" w:rsidRDefault="00D20BAC" w:rsidP="00D20BAC">
            <w:pPr>
              <w:spacing w:after="0" w:line="240" w:lineRule="auto"/>
              <w:jc w:val="both"/>
              <w:rPr>
                <w:rFonts w:ascii="Arial" w:eastAsia="Times New Roman" w:hAnsi="Arial" w:cs="Arial"/>
                <w:sz w:val="18"/>
                <w:szCs w:val="18"/>
                <w:lang w:eastAsia="es-ES"/>
              </w:rPr>
            </w:pPr>
          </w:p>
        </w:tc>
        <w:tc>
          <w:tcPr>
            <w:tcW w:w="1075" w:type="pct"/>
            <w:tcBorders>
              <w:top w:val="nil"/>
              <w:left w:val="nil"/>
              <w:bottom w:val="single" w:sz="4" w:space="0" w:color="auto"/>
              <w:right w:val="single" w:sz="8" w:space="0" w:color="auto"/>
            </w:tcBorders>
            <w:shd w:val="clear" w:color="auto" w:fill="auto"/>
            <w:noWrap/>
            <w:vAlign w:val="bottom"/>
            <w:hideMark/>
          </w:tcPr>
          <w:p w:rsidR="00D20BAC" w:rsidRPr="00D20BAC" w:rsidRDefault="00D20BAC" w:rsidP="00D20BAC">
            <w:pPr>
              <w:spacing w:after="0" w:line="240" w:lineRule="auto"/>
              <w:jc w:val="both"/>
              <w:rPr>
                <w:rFonts w:ascii="Arial" w:eastAsia="Times New Roman" w:hAnsi="Arial" w:cs="Arial"/>
                <w:sz w:val="18"/>
                <w:szCs w:val="18"/>
                <w:lang w:eastAsia="es-ES"/>
              </w:rPr>
            </w:pPr>
            <w:r w:rsidRPr="00D20BAC">
              <w:rPr>
                <w:rFonts w:ascii="Arial" w:eastAsia="Times New Roman" w:hAnsi="Arial" w:cs="Arial"/>
                <w:sz w:val="18"/>
                <w:szCs w:val="18"/>
                <w:lang w:eastAsia="es-ES"/>
              </w:rPr>
              <w:t> </w:t>
            </w:r>
          </w:p>
        </w:tc>
      </w:tr>
      <w:tr w:rsidR="00D20BAC" w:rsidRPr="00D20BAC" w:rsidTr="00D20BAC">
        <w:trPr>
          <w:trHeight w:val="76"/>
        </w:trPr>
        <w:tc>
          <w:tcPr>
            <w:tcW w:w="2812" w:type="pct"/>
            <w:gridSpan w:val="6"/>
            <w:tcBorders>
              <w:top w:val="single" w:sz="4" w:space="0" w:color="auto"/>
              <w:left w:val="single" w:sz="8" w:space="0" w:color="auto"/>
              <w:bottom w:val="single" w:sz="8" w:space="0" w:color="auto"/>
              <w:right w:val="single" w:sz="4" w:space="0" w:color="auto"/>
            </w:tcBorders>
            <w:shd w:val="clear" w:color="auto" w:fill="auto"/>
            <w:noWrap/>
            <w:vAlign w:val="bottom"/>
            <w:hideMark/>
          </w:tcPr>
          <w:p w:rsidR="00D20BAC" w:rsidRPr="00D20BAC" w:rsidRDefault="00D20BAC" w:rsidP="00D20BAC">
            <w:pPr>
              <w:spacing w:after="0" w:line="240" w:lineRule="auto"/>
              <w:jc w:val="both"/>
              <w:rPr>
                <w:rFonts w:ascii="Arial" w:eastAsia="Times New Roman" w:hAnsi="Arial" w:cs="Arial"/>
                <w:sz w:val="18"/>
                <w:szCs w:val="18"/>
                <w:lang w:eastAsia="es-ES"/>
              </w:rPr>
            </w:pPr>
            <w:r w:rsidRPr="00D20BAC">
              <w:rPr>
                <w:rFonts w:ascii="Arial" w:eastAsia="Times New Roman" w:hAnsi="Arial" w:cs="Arial"/>
                <w:sz w:val="18"/>
                <w:szCs w:val="18"/>
                <w:lang w:eastAsia="es-ES"/>
              </w:rPr>
              <w:t>Tiempo Promedio de Revisión por Plan</w:t>
            </w:r>
          </w:p>
        </w:tc>
        <w:tc>
          <w:tcPr>
            <w:tcW w:w="303" w:type="pct"/>
            <w:tcBorders>
              <w:top w:val="nil"/>
              <w:left w:val="nil"/>
              <w:bottom w:val="single" w:sz="8" w:space="0" w:color="auto"/>
              <w:right w:val="single" w:sz="4" w:space="0" w:color="auto"/>
            </w:tcBorders>
            <w:shd w:val="clear" w:color="auto" w:fill="auto"/>
            <w:noWrap/>
            <w:vAlign w:val="bottom"/>
          </w:tcPr>
          <w:p w:rsidR="00D20BAC" w:rsidRPr="00D20BAC" w:rsidRDefault="00D20BAC" w:rsidP="00D20BAC">
            <w:pPr>
              <w:spacing w:after="0" w:line="240" w:lineRule="auto"/>
              <w:jc w:val="both"/>
              <w:rPr>
                <w:rFonts w:ascii="Arial" w:eastAsia="Times New Roman" w:hAnsi="Arial" w:cs="Arial"/>
                <w:sz w:val="18"/>
                <w:szCs w:val="18"/>
                <w:lang w:eastAsia="es-ES"/>
              </w:rPr>
            </w:pPr>
            <w:r w:rsidRPr="00D20BAC">
              <w:rPr>
                <w:rFonts w:ascii="Arial" w:eastAsia="Times New Roman" w:hAnsi="Arial" w:cs="Arial"/>
                <w:sz w:val="18"/>
                <w:szCs w:val="18"/>
                <w:lang w:eastAsia="es-ES"/>
              </w:rPr>
              <w:t>61</w:t>
            </w:r>
          </w:p>
        </w:tc>
        <w:tc>
          <w:tcPr>
            <w:tcW w:w="366" w:type="pct"/>
            <w:tcBorders>
              <w:top w:val="nil"/>
              <w:left w:val="nil"/>
              <w:bottom w:val="single" w:sz="8" w:space="0" w:color="auto"/>
              <w:right w:val="single" w:sz="4" w:space="0" w:color="auto"/>
            </w:tcBorders>
            <w:shd w:val="clear" w:color="auto" w:fill="auto"/>
            <w:noWrap/>
            <w:vAlign w:val="bottom"/>
          </w:tcPr>
          <w:p w:rsidR="00D20BAC" w:rsidRPr="00D20BAC" w:rsidRDefault="00D20BAC" w:rsidP="00D20BAC">
            <w:pPr>
              <w:spacing w:after="0" w:line="240" w:lineRule="auto"/>
              <w:jc w:val="both"/>
              <w:rPr>
                <w:rFonts w:ascii="Arial" w:eastAsia="Times New Roman" w:hAnsi="Arial" w:cs="Arial"/>
                <w:sz w:val="18"/>
                <w:szCs w:val="18"/>
                <w:lang w:eastAsia="es-ES"/>
              </w:rPr>
            </w:pPr>
          </w:p>
        </w:tc>
        <w:tc>
          <w:tcPr>
            <w:tcW w:w="444" w:type="pct"/>
            <w:tcBorders>
              <w:top w:val="nil"/>
              <w:left w:val="nil"/>
              <w:bottom w:val="single" w:sz="8" w:space="0" w:color="auto"/>
              <w:right w:val="single" w:sz="4" w:space="0" w:color="auto"/>
            </w:tcBorders>
            <w:shd w:val="clear" w:color="auto" w:fill="auto"/>
            <w:noWrap/>
            <w:vAlign w:val="bottom"/>
          </w:tcPr>
          <w:p w:rsidR="00D20BAC" w:rsidRPr="00D20BAC" w:rsidRDefault="00D20BAC" w:rsidP="00D20BAC">
            <w:pPr>
              <w:spacing w:after="0" w:line="240" w:lineRule="auto"/>
              <w:jc w:val="both"/>
              <w:rPr>
                <w:rFonts w:ascii="Arial" w:eastAsia="Times New Roman" w:hAnsi="Arial" w:cs="Arial"/>
                <w:sz w:val="18"/>
                <w:szCs w:val="18"/>
                <w:lang w:eastAsia="es-ES"/>
              </w:rPr>
            </w:pPr>
          </w:p>
        </w:tc>
        <w:tc>
          <w:tcPr>
            <w:tcW w:w="1075" w:type="pct"/>
            <w:tcBorders>
              <w:top w:val="nil"/>
              <w:left w:val="nil"/>
              <w:bottom w:val="single" w:sz="8" w:space="0" w:color="auto"/>
              <w:right w:val="single" w:sz="8" w:space="0" w:color="auto"/>
            </w:tcBorders>
            <w:shd w:val="clear" w:color="auto" w:fill="auto"/>
            <w:noWrap/>
            <w:vAlign w:val="bottom"/>
            <w:hideMark/>
          </w:tcPr>
          <w:p w:rsidR="00D20BAC" w:rsidRPr="00D20BAC" w:rsidRDefault="00D20BAC" w:rsidP="00D20BAC">
            <w:pPr>
              <w:spacing w:after="0" w:line="240" w:lineRule="auto"/>
              <w:jc w:val="both"/>
              <w:rPr>
                <w:rFonts w:ascii="Arial" w:eastAsia="Times New Roman" w:hAnsi="Arial" w:cs="Arial"/>
                <w:sz w:val="18"/>
                <w:szCs w:val="18"/>
                <w:lang w:eastAsia="es-ES"/>
              </w:rPr>
            </w:pPr>
            <w:r w:rsidRPr="00D20BAC">
              <w:rPr>
                <w:rFonts w:ascii="Arial" w:eastAsia="Times New Roman" w:hAnsi="Arial" w:cs="Arial"/>
                <w:sz w:val="18"/>
                <w:szCs w:val="18"/>
                <w:lang w:eastAsia="es-ES"/>
              </w:rPr>
              <w:t> </w:t>
            </w:r>
          </w:p>
        </w:tc>
      </w:tr>
    </w:tbl>
    <w:p w:rsidR="00D20BAC" w:rsidRPr="001E2626" w:rsidRDefault="00D20BAC" w:rsidP="00D20BAC">
      <w:pPr>
        <w:spacing w:after="0" w:line="240" w:lineRule="auto"/>
        <w:jc w:val="both"/>
        <w:rPr>
          <w:rFonts w:ascii="Arial" w:eastAsia="Times New Roman" w:hAnsi="Arial" w:cs="Arial"/>
          <w:sz w:val="18"/>
          <w:szCs w:val="18"/>
          <w:lang w:eastAsia="es-ES"/>
        </w:rPr>
      </w:pPr>
      <w:r w:rsidRPr="001E2626">
        <w:rPr>
          <w:rFonts w:ascii="Arial" w:eastAsia="Times New Roman" w:hAnsi="Arial" w:cs="Arial"/>
          <w:sz w:val="18"/>
          <w:szCs w:val="18"/>
          <w:lang w:eastAsia="es-ES"/>
        </w:rPr>
        <w:t>Nota Fuente: Informe de rendimiento de cuentas de área. (2017)</w:t>
      </w:r>
    </w:p>
    <w:p w:rsidR="00705458" w:rsidRDefault="00705458" w:rsidP="00A97E9C">
      <w:pPr>
        <w:pStyle w:val="Textoindependiente"/>
        <w:spacing w:after="0" w:line="240" w:lineRule="auto"/>
        <w:jc w:val="both"/>
        <w:rPr>
          <w:rFonts w:ascii="Arial" w:eastAsia="Times New Roman" w:hAnsi="Arial" w:cs="Arial"/>
          <w:b/>
          <w:sz w:val="20"/>
          <w:szCs w:val="20"/>
          <w:lang w:eastAsia="es-ES"/>
        </w:rPr>
      </w:pPr>
    </w:p>
    <w:p w:rsidR="00A97E9C" w:rsidRPr="00A97E9C" w:rsidRDefault="00A97E9C" w:rsidP="00A97E9C">
      <w:pPr>
        <w:pStyle w:val="Textoindependiente"/>
        <w:spacing w:after="0" w:line="240" w:lineRule="auto"/>
        <w:jc w:val="both"/>
        <w:rPr>
          <w:rFonts w:ascii="Arial" w:eastAsia="Times New Roman" w:hAnsi="Arial" w:cs="Arial"/>
          <w:b/>
          <w:sz w:val="20"/>
          <w:szCs w:val="20"/>
          <w:lang w:eastAsia="es-ES"/>
        </w:rPr>
      </w:pPr>
      <w:r w:rsidRPr="00A97E9C">
        <w:rPr>
          <w:rFonts w:ascii="Arial" w:eastAsia="Times New Roman" w:hAnsi="Arial" w:cs="Arial"/>
          <w:b/>
          <w:sz w:val="20"/>
          <w:szCs w:val="20"/>
          <w:lang w:eastAsia="es-ES"/>
        </w:rPr>
        <w:t xml:space="preserve">Servicio N°2. Visado de Planos  </w:t>
      </w:r>
    </w:p>
    <w:p w:rsidR="00A97E9C" w:rsidRPr="00A97E9C" w:rsidRDefault="00A97E9C" w:rsidP="00A97E9C">
      <w:pPr>
        <w:pStyle w:val="Textoindependiente"/>
        <w:spacing w:after="0" w:line="240" w:lineRule="auto"/>
        <w:jc w:val="both"/>
        <w:rPr>
          <w:rFonts w:ascii="Arial" w:eastAsia="Times New Roman" w:hAnsi="Arial" w:cs="Arial"/>
          <w:b/>
          <w:sz w:val="20"/>
          <w:szCs w:val="20"/>
          <w:lang w:eastAsia="es-ES"/>
        </w:rPr>
      </w:pPr>
    </w:p>
    <w:p w:rsidR="00A97E9C" w:rsidRPr="00A97E9C" w:rsidRDefault="00A97E9C" w:rsidP="00A97E9C">
      <w:pPr>
        <w:pStyle w:val="Textoindependiente"/>
        <w:spacing w:after="0" w:line="240" w:lineRule="auto"/>
        <w:jc w:val="both"/>
        <w:rPr>
          <w:rFonts w:ascii="Arial" w:eastAsia="Times New Roman" w:hAnsi="Arial" w:cs="Arial"/>
          <w:sz w:val="20"/>
          <w:szCs w:val="20"/>
          <w:lang w:eastAsia="es-ES"/>
        </w:rPr>
      </w:pPr>
      <w:r w:rsidRPr="00A97E9C">
        <w:rPr>
          <w:rFonts w:ascii="Arial" w:eastAsia="Times New Roman" w:hAnsi="Arial" w:cs="Arial"/>
          <w:sz w:val="20"/>
          <w:szCs w:val="20"/>
          <w:lang w:eastAsia="es-ES"/>
        </w:rPr>
        <w:t xml:space="preserve">Para el servicio de visado de planos, se aplica la Ley de Planificación Urbana artículo 10, inciso 2, examinar y visar, en forma ineludible los planos correspondientes a proyectos de urbanización o de fraccionamiento para efectos de urbanización, previamente a su aprobación municipal.  </w:t>
      </w:r>
    </w:p>
    <w:p w:rsidR="00A97E9C" w:rsidRPr="00A97E9C" w:rsidRDefault="00A97E9C" w:rsidP="00A97E9C">
      <w:pPr>
        <w:pStyle w:val="Textoindependiente"/>
        <w:spacing w:after="0" w:line="240" w:lineRule="auto"/>
        <w:jc w:val="both"/>
        <w:rPr>
          <w:rFonts w:ascii="Arial" w:eastAsia="Times New Roman" w:hAnsi="Arial" w:cs="Arial"/>
          <w:sz w:val="20"/>
          <w:szCs w:val="20"/>
          <w:lang w:eastAsia="es-ES"/>
        </w:rPr>
      </w:pPr>
    </w:p>
    <w:p w:rsidR="00A97E9C" w:rsidRPr="00A97E9C" w:rsidRDefault="00A97E9C" w:rsidP="00A97E9C">
      <w:pPr>
        <w:pStyle w:val="Textoindependiente"/>
        <w:spacing w:after="0" w:line="240" w:lineRule="auto"/>
        <w:jc w:val="both"/>
        <w:rPr>
          <w:rFonts w:ascii="Arial" w:eastAsia="Times New Roman" w:hAnsi="Arial" w:cs="Arial"/>
          <w:sz w:val="20"/>
          <w:szCs w:val="20"/>
          <w:lang w:eastAsia="es-ES"/>
        </w:rPr>
      </w:pPr>
      <w:r w:rsidRPr="00A97E9C">
        <w:rPr>
          <w:rFonts w:ascii="Arial" w:eastAsia="Times New Roman" w:hAnsi="Arial" w:cs="Arial"/>
          <w:sz w:val="20"/>
          <w:szCs w:val="20"/>
          <w:lang w:eastAsia="es-ES"/>
        </w:rPr>
        <w:t>La revisión de planos constructivos para obtener el respectivo visado, permite fiscalizar el debido cumplimiento de las normas y reglamentos sobre esta materia, propiciando el control de la planificación territorial y uso del suelo, en beneficio del usuario, se realiza en la Dirección de Urbanismo, Unidad de Fiscalización.</w:t>
      </w:r>
    </w:p>
    <w:p w:rsidR="00A97E9C" w:rsidRPr="00A97E9C" w:rsidRDefault="00A97E9C" w:rsidP="00A97E9C">
      <w:pPr>
        <w:pStyle w:val="Textoindependiente"/>
        <w:spacing w:after="0" w:line="240" w:lineRule="auto"/>
        <w:jc w:val="both"/>
        <w:rPr>
          <w:rFonts w:ascii="Arial" w:eastAsia="Times New Roman" w:hAnsi="Arial" w:cs="Arial"/>
          <w:sz w:val="20"/>
          <w:szCs w:val="20"/>
          <w:lang w:eastAsia="es-ES"/>
        </w:rPr>
      </w:pPr>
    </w:p>
    <w:p w:rsidR="00A97E9C" w:rsidRPr="00A97E9C" w:rsidRDefault="00A97E9C" w:rsidP="00A97E9C">
      <w:pPr>
        <w:pStyle w:val="Textoindependiente"/>
        <w:spacing w:after="0" w:line="240" w:lineRule="auto"/>
        <w:jc w:val="both"/>
        <w:rPr>
          <w:rFonts w:ascii="Arial" w:eastAsia="Times New Roman" w:hAnsi="Arial" w:cs="Arial"/>
          <w:sz w:val="20"/>
          <w:szCs w:val="20"/>
          <w:lang w:eastAsia="es-ES"/>
        </w:rPr>
      </w:pPr>
      <w:r w:rsidRPr="00A97E9C">
        <w:rPr>
          <w:rFonts w:ascii="Arial" w:eastAsia="Times New Roman" w:hAnsi="Arial" w:cs="Arial"/>
          <w:sz w:val="20"/>
          <w:szCs w:val="20"/>
          <w:lang w:eastAsia="es-ES"/>
        </w:rPr>
        <w:t>Los tipos de planos contemplados son los siguientes:</w:t>
      </w:r>
    </w:p>
    <w:p w:rsidR="00A97E9C" w:rsidRPr="00A97E9C" w:rsidRDefault="00A97E9C" w:rsidP="00A97E9C">
      <w:pPr>
        <w:pStyle w:val="Textoindependiente"/>
        <w:spacing w:after="0" w:line="240" w:lineRule="auto"/>
        <w:jc w:val="both"/>
        <w:rPr>
          <w:rFonts w:ascii="Arial" w:eastAsia="Times New Roman" w:hAnsi="Arial" w:cs="Arial"/>
          <w:sz w:val="20"/>
          <w:szCs w:val="20"/>
          <w:lang w:eastAsia="es-ES"/>
        </w:rPr>
      </w:pPr>
    </w:p>
    <w:p w:rsidR="00A97E9C" w:rsidRPr="00A97E9C" w:rsidRDefault="00A97E9C" w:rsidP="000665F1">
      <w:pPr>
        <w:pStyle w:val="Textoindependiente"/>
        <w:numPr>
          <w:ilvl w:val="0"/>
          <w:numId w:val="5"/>
        </w:numPr>
        <w:spacing w:after="0" w:line="240" w:lineRule="auto"/>
        <w:jc w:val="both"/>
        <w:rPr>
          <w:rFonts w:ascii="Arial" w:eastAsia="Times New Roman" w:hAnsi="Arial" w:cs="Arial"/>
          <w:sz w:val="20"/>
          <w:szCs w:val="20"/>
          <w:lang w:eastAsia="es-ES"/>
        </w:rPr>
      </w:pPr>
      <w:r w:rsidRPr="00A97E9C">
        <w:rPr>
          <w:rFonts w:ascii="Arial" w:eastAsia="Times New Roman" w:hAnsi="Arial" w:cs="Arial"/>
          <w:sz w:val="20"/>
          <w:szCs w:val="20"/>
          <w:lang w:eastAsia="es-ES"/>
        </w:rPr>
        <w:t>Planos de urbanizaciones</w:t>
      </w:r>
    </w:p>
    <w:p w:rsidR="00A97E9C" w:rsidRPr="00A97E9C" w:rsidRDefault="00A97E9C" w:rsidP="00A97E9C">
      <w:pPr>
        <w:pStyle w:val="Textoindependiente"/>
        <w:spacing w:after="0" w:line="240" w:lineRule="auto"/>
        <w:ind w:firstLine="60"/>
        <w:jc w:val="both"/>
        <w:rPr>
          <w:rFonts w:ascii="Arial" w:eastAsia="Times New Roman" w:hAnsi="Arial" w:cs="Arial"/>
          <w:sz w:val="20"/>
          <w:szCs w:val="20"/>
          <w:lang w:eastAsia="es-ES"/>
        </w:rPr>
      </w:pPr>
    </w:p>
    <w:p w:rsidR="00A97E9C" w:rsidRPr="00A97E9C" w:rsidRDefault="00A97E9C" w:rsidP="000665F1">
      <w:pPr>
        <w:pStyle w:val="Textoindependiente"/>
        <w:numPr>
          <w:ilvl w:val="0"/>
          <w:numId w:val="5"/>
        </w:numPr>
        <w:spacing w:after="0" w:line="240" w:lineRule="auto"/>
        <w:jc w:val="both"/>
        <w:rPr>
          <w:rFonts w:ascii="Arial" w:eastAsia="Times New Roman" w:hAnsi="Arial" w:cs="Arial"/>
          <w:sz w:val="20"/>
          <w:szCs w:val="20"/>
          <w:lang w:eastAsia="es-ES"/>
        </w:rPr>
      </w:pPr>
      <w:r w:rsidRPr="00A97E9C">
        <w:rPr>
          <w:rFonts w:ascii="Arial" w:eastAsia="Times New Roman" w:hAnsi="Arial" w:cs="Arial"/>
          <w:sz w:val="20"/>
          <w:szCs w:val="20"/>
          <w:lang w:eastAsia="es-ES"/>
        </w:rPr>
        <w:t>Planos generales de catastro urbanizaciones</w:t>
      </w:r>
    </w:p>
    <w:p w:rsidR="00A97E9C" w:rsidRPr="00A97E9C" w:rsidRDefault="00A97E9C" w:rsidP="00A97E9C">
      <w:pPr>
        <w:pStyle w:val="Textoindependiente"/>
        <w:spacing w:after="0" w:line="240" w:lineRule="auto"/>
        <w:ind w:firstLine="60"/>
        <w:jc w:val="both"/>
        <w:rPr>
          <w:rFonts w:ascii="Arial" w:eastAsia="Times New Roman" w:hAnsi="Arial" w:cs="Arial"/>
          <w:sz w:val="20"/>
          <w:szCs w:val="20"/>
          <w:lang w:eastAsia="es-ES"/>
        </w:rPr>
      </w:pPr>
    </w:p>
    <w:p w:rsidR="00A97E9C" w:rsidRPr="00A97E9C" w:rsidRDefault="00A97E9C" w:rsidP="000665F1">
      <w:pPr>
        <w:pStyle w:val="Textoindependiente"/>
        <w:numPr>
          <w:ilvl w:val="0"/>
          <w:numId w:val="5"/>
        </w:numPr>
        <w:spacing w:after="0" w:line="240" w:lineRule="auto"/>
        <w:jc w:val="both"/>
        <w:rPr>
          <w:rFonts w:ascii="Arial" w:eastAsia="Times New Roman" w:hAnsi="Arial" w:cs="Arial"/>
          <w:sz w:val="20"/>
          <w:szCs w:val="20"/>
          <w:lang w:eastAsia="es-ES"/>
        </w:rPr>
      </w:pPr>
      <w:r w:rsidRPr="00A97E9C">
        <w:rPr>
          <w:rFonts w:ascii="Arial" w:eastAsia="Times New Roman" w:hAnsi="Arial" w:cs="Arial"/>
          <w:sz w:val="20"/>
          <w:szCs w:val="20"/>
          <w:lang w:eastAsia="es-ES"/>
        </w:rPr>
        <w:t>Modificación de urbanizaciones</w:t>
      </w:r>
    </w:p>
    <w:p w:rsidR="00A97E9C" w:rsidRPr="00A97E9C" w:rsidRDefault="00A97E9C" w:rsidP="00A97E9C">
      <w:pPr>
        <w:pStyle w:val="Textoindependiente"/>
        <w:spacing w:after="0" w:line="240" w:lineRule="auto"/>
        <w:jc w:val="both"/>
        <w:rPr>
          <w:rFonts w:ascii="Arial" w:eastAsia="Times New Roman" w:hAnsi="Arial" w:cs="Arial"/>
          <w:sz w:val="20"/>
          <w:szCs w:val="20"/>
          <w:lang w:eastAsia="es-ES"/>
        </w:rPr>
      </w:pPr>
    </w:p>
    <w:p w:rsidR="00A97E9C" w:rsidRPr="00A97E9C" w:rsidRDefault="00A97E9C" w:rsidP="000665F1">
      <w:pPr>
        <w:pStyle w:val="Textoindependiente"/>
        <w:numPr>
          <w:ilvl w:val="0"/>
          <w:numId w:val="5"/>
        </w:numPr>
        <w:spacing w:after="0" w:line="240" w:lineRule="auto"/>
        <w:jc w:val="both"/>
        <w:rPr>
          <w:rFonts w:ascii="Arial" w:eastAsia="Times New Roman" w:hAnsi="Arial" w:cs="Arial"/>
          <w:sz w:val="20"/>
          <w:szCs w:val="20"/>
          <w:lang w:eastAsia="es-ES"/>
        </w:rPr>
      </w:pPr>
      <w:r w:rsidRPr="00A97E9C">
        <w:rPr>
          <w:rFonts w:ascii="Arial" w:eastAsia="Times New Roman" w:hAnsi="Arial" w:cs="Arial"/>
          <w:sz w:val="20"/>
          <w:szCs w:val="20"/>
          <w:lang w:eastAsia="es-ES"/>
        </w:rPr>
        <w:t>Planos de condominios lotes</w:t>
      </w:r>
    </w:p>
    <w:p w:rsidR="00A97E9C" w:rsidRPr="00A97E9C" w:rsidRDefault="00A97E9C" w:rsidP="00A97E9C">
      <w:pPr>
        <w:pStyle w:val="Textoindependiente"/>
        <w:spacing w:after="0" w:line="240" w:lineRule="auto"/>
        <w:jc w:val="both"/>
        <w:rPr>
          <w:rFonts w:ascii="Arial" w:eastAsia="Times New Roman" w:hAnsi="Arial" w:cs="Arial"/>
          <w:sz w:val="20"/>
          <w:szCs w:val="20"/>
          <w:lang w:eastAsia="es-ES"/>
        </w:rPr>
      </w:pPr>
    </w:p>
    <w:p w:rsidR="00A97E9C" w:rsidRPr="00A97E9C" w:rsidRDefault="00A97E9C" w:rsidP="000665F1">
      <w:pPr>
        <w:pStyle w:val="Textoindependiente"/>
        <w:numPr>
          <w:ilvl w:val="0"/>
          <w:numId w:val="5"/>
        </w:numPr>
        <w:spacing w:after="0" w:line="240" w:lineRule="auto"/>
        <w:jc w:val="both"/>
        <w:rPr>
          <w:rFonts w:ascii="Arial" w:eastAsia="Times New Roman" w:hAnsi="Arial" w:cs="Arial"/>
          <w:sz w:val="20"/>
          <w:szCs w:val="20"/>
          <w:lang w:eastAsia="es-ES"/>
        </w:rPr>
      </w:pPr>
      <w:r w:rsidRPr="00A97E9C">
        <w:rPr>
          <w:rFonts w:ascii="Arial" w:eastAsia="Times New Roman" w:hAnsi="Arial" w:cs="Arial"/>
          <w:sz w:val="20"/>
          <w:szCs w:val="20"/>
          <w:lang w:eastAsia="es-ES"/>
        </w:rPr>
        <w:t>Modificación condominios lotes</w:t>
      </w:r>
    </w:p>
    <w:p w:rsidR="00A97E9C" w:rsidRPr="00A97E9C" w:rsidRDefault="00A97E9C" w:rsidP="00A97E9C">
      <w:pPr>
        <w:pStyle w:val="Textoindependiente"/>
        <w:spacing w:after="0" w:line="240" w:lineRule="auto"/>
        <w:jc w:val="both"/>
        <w:rPr>
          <w:rFonts w:ascii="Arial" w:eastAsia="Times New Roman" w:hAnsi="Arial" w:cs="Arial"/>
          <w:sz w:val="20"/>
          <w:szCs w:val="20"/>
          <w:lang w:eastAsia="es-ES"/>
        </w:rPr>
      </w:pPr>
    </w:p>
    <w:p w:rsidR="00A97E9C" w:rsidRPr="00A97E9C" w:rsidRDefault="00A97E9C" w:rsidP="000665F1">
      <w:pPr>
        <w:pStyle w:val="Textoindependiente"/>
        <w:numPr>
          <w:ilvl w:val="0"/>
          <w:numId w:val="5"/>
        </w:numPr>
        <w:spacing w:after="0" w:line="240" w:lineRule="auto"/>
        <w:jc w:val="both"/>
        <w:rPr>
          <w:rFonts w:ascii="Arial" w:eastAsia="Times New Roman" w:hAnsi="Arial" w:cs="Arial"/>
          <w:sz w:val="20"/>
          <w:szCs w:val="20"/>
          <w:lang w:eastAsia="es-ES"/>
        </w:rPr>
      </w:pPr>
      <w:r w:rsidRPr="00A97E9C">
        <w:rPr>
          <w:rFonts w:ascii="Arial" w:eastAsia="Times New Roman" w:hAnsi="Arial" w:cs="Arial"/>
          <w:sz w:val="20"/>
          <w:szCs w:val="20"/>
          <w:lang w:eastAsia="es-ES"/>
        </w:rPr>
        <w:t>Planos condominios construidos</w:t>
      </w:r>
    </w:p>
    <w:p w:rsidR="00A97E9C" w:rsidRPr="00A97E9C" w:rsidRDefault="00A97E9C" w:rsidP="00A97E9C">
      <w:pPr>
        <w:pStyle w:val="Textoindependiente"/>
        <w:spacing w:after="0" w:line="240" w:lineRule="auto"/>
        <w:ind w:firstLine="60"/>
        <w:jc w:val="both"/>
        <w:rPr>
          <w:rFonts w:ascii="Arial" w:eastAsia="Times New Roman" w:hAnsi="Arial" w:cs="Arial"/>
          <w:sz w:val="20"/>
          <w:szCs w:val="20"/>
          <w:lang w:eastAsia="es-ES"/>
        </w:rPr>
      </w:pPr>
    </w:p>
    <w:p w:rsidR="00A97E9C" w:rsidRPr="00A97E9C" w:rsidRDefault="00A97E9C" w:rsidP="000665F1">
      <w:pPr>
        <w:pStyle w:val="Textoindependiente"/>
        <w:numPr>
          <w:ilvl w:val="0"/>
          <w:numId w:val="5"/>
        </w:numPr>
        <w:spacing w:after="0" w:line="240" w:lineRule="auto"/>
        <w:jc w:val="both"/>
        <w:rPr>
          <w:rFonts w:ascii="Arial" w:eastAsia="Times New Roman" w:hAnsi="Arial" w:cs="Arial"/>
          <w:sz w:val="20"/>
          <w:szCs w:val="20"/>
          <w:lang w:eastAsia="es-ES"/>
        </w:rPr>
      </w:pPr>
      <w:r w:rsidRPr="00A97E9C">
        <w:rPr>
          <w:rFonts w:ascii="Arial" w:eastAsia="Times New Roman" w:hAnsi="Arial" w:cs="Arial"/>
          <w:sz w:val="20"/>
          <w:szCs w:val="20"/>
          <w:lang w:eastAsia="es-ES"/>
        </w:rPr>
        <w:t>Resellos de urbanización– condominios –catastro</w:t>
      </w:r>
    </w:p>
    <w:p w:rsidR="00A97E9C" w:rsidRPr="00A97E9C" w:rsidRDefault="00A97E9C" w:rsidP="00A97E9C">
      <w:pPr>
        <w:pStyle w:val="Textoindependiente"/>
        <w:spacing w:after="0" w:line="240" w:lineRule="auto"/>
        <w:jc w:val="both"/>
        <w:rPr>
          <w:rFonts w:ascii="Arial" w:eastAsia="Times New Roman" w:hAnsi="Arial" w:cs="Arial"/>
          <w:sz w:val="20"/>
          <w:szCs w:val="20"/>
          <w:lang w:eastAsia="es-ES"/>
        </w:rPr>
      </w:pPr>
    </w:p>
    <w:p w:rsidR="00A97E9C" w:rsidRPr="00A97E9C" w:rsidRDefault="00A97E9C" w:rsidP="000665F1">
      <w:pPr>
        <w:pStyle w:val="Textoindependiente"/>
        <w:numPr>
          <w:ilvl w:val="0"/>
          <w:numId w:val="5"/>
        </w:numPr>
        <w:spacing w:after="0" w:line="240" w:lineRule="auto"/>
        <w:jc w:val="both"/>
        <w:rPr>
          <w:rFonts w:ascii="Arial" w:eastAsia="Times New Roman" w:hAnsi="Arial" w:cs="Arial"/>
          <w:sz w:val="20"/>
          <w:szCs w:val="20"/>
          <w:lang w:eastAsia="es-ES"/>
        </w:rPr>
      </w:pPr>
      <w:r w:rsidRPr="00A97E9C">
        <w:rPr>
          <w:rFonts w:ascii="Arial" w:eastAsia="Times New Roman" w:hAnsi="Arial" w:cs="Arial"/>
          <w:sz w:val="20"/>
          <w:szCs w:val="20"/>
          <w:lang w:eastAsia="es-ES"/>
        </w:rPr>
        <w:t>Planos Zona Marítimo Terrestre</w:t>
      </w:r>
    </w:p>
    <w:p w:rsidR="00A97E9C" w:rsidRPr="00A97E9C" w:rsidRDefault="00A97E9C" w:rsidP="00A97E9C">
      <w:pPr>
        <w:pStyle w:val="Textoindependiente"/>
        <w:spacing w:after="0" w:line="240" w:lineRule="auto"/>
        <w:jc w:val="both"/>
        <w:rPr>
          <w:rFonts w:ascii="Arial" w:eastAsia="Times New Roman" w:hAnsi="Arial" w:cs="Arial"/>
          <w:sz w:val="20"/>
          <w:szCs w:val="20"/>
          <w:lang w:eastAsia="es-ES"/>
        </w:rPr>
      </w:pPr>
    </w:p>
    <w:p w:rsidR="00A97E9C" w:rsidRPr="00A97E9C" w:rsidRDefault="00A97E9C" w:rsidP="000665F1">
      <w:pPr>
        <w:pStyle w:val="Textoindependiente"/>
        <w:numPr>
          <w:ilvl w:val="0"/>
          <w:numId w:val="5"/>
        </w:numPr>
        <w:spacing w:after="0" w:line="240" w:lineRule="auto"/>
        <w:jc w:val="both"/>
        <w:rPr>
          <w:rFonts w:ascii="Arial" w:eastAsia="Times New Roman" w:hAnsi="Arial" w:cs="Arial"/>
          <w:sz w:val="20"/>
          <w:szCs w:val="20"/>
          <w:lang w:eastAsia="es-ES"/>
        </w:rPr>
      </w:pPr>
      <w:r w:rsidRPr="00A97E9C">
        <w:rPr>
          <w:rFonts w:ascii="Arial" w:eastAsia="Times New Roman" w:hAnsi="Arial" w:cs="Arial"/>
          <w:sz w:val="20"/>
          <w:szCs w:val="20"/>
          <w:lang w:eastAsia="es-ES"/>
        </w:rPr>
        <w:t>Catastro individual</w:t>
      </w:r>
    </w:p>
    <w:p w:rsidR="00A97E9C" w:rsidRPr="00A97E9C" w:rsidRDefault="00A97E9C" w:rsidP="00A97E9C">
      <w:pPr>
        <w:pStyle w:val="Textoindependiente"/>
        <w:spacing w:after="0" w:line="240" w:lineRule="auto"/>
        <w:jc w:val="both"/>
        <w:rPr>
          <w:rFonts w:ascii="Arial" w:eastAsia="Times New Roman" w:hAnsi="Arial" w:cs="Arial"/>
          <w:sz w:val="20"/>
          <w:szCs w:val="20"/>
          <w:lang w:eastAsia="es-ES"/>
        </w:rPr>
      </w:pPr>
    </w:p>
    <w:p w:rsidR="00A97E9C" w:rsidRPr="00A97E9C" w:rsidRDefault="00A97E9C" w:rsidP="000665F1">
      <w:pPr>
        <w:pStyle w:val="Textoindependiente"/>
        <w:numPr>
          <w:ilvl w:val="0"/>
          <w:numId w:val="5"/>
        </w:numPr>
        <w:spacing w:after="0" w:line="240" w:lineRule="auto"/>
        <w:jc w:val="both"/>
        <w:rPr>
          <w:rFonts w:ascii="Arial" w:eastAsia="Times New Roman" w:hAnsi="Arial" w:cs="Arial"/>
          <w:sz w:val="20"/>
          <w:szCs w:val="20"/>
          <w:lang w:eastAsia="es-ES"/>
        </w:rPr>
      </w:pPr>
      <w:r w:rsidRPr="00A97E9C">
        <w:rPr>
          <w:rFonts w:ascii="Arial" w:eastAsia="Times New Roman" w:hAnsi="Arial" w:cs="Arial"/>
          <w:sz w:val="20"/>
          <w:szCs w:val="20"/>
          <w:lang w:eastAsia="es-ES"/>
        </w:rPr>
        <w:t>Alineamientos</w:t>
      </w:r>
    </w:p>
    <w:p w:rsidR="00705458" w:rsidRDefault="00DA62C0" w:rsidP="00705458">
      <w:pPr>
        <w:pStyle w:val="Textoindependiente"/>
        <w:spacing w:after="0" w:line="240" w:lineRule="auto"/>
        <w:ind w:left="360"/>
        <w:jc w:val="both"/>
        <w:rPr>
          <w:rFonts w:ascii="Arial" w:eastAsia="Times New Roman" w:hAnsi="Arial" w:cs="Arial"/>
          <w:sz w:val="20"/>
          <w:szCs w:val="20"/>
          <w:lang w:eastAsia="es-ES"/>
        </w:rPr>
      </w:pPr>
      <w:r w:rsidRPr="00A97E9C">
        <w:rPr>
          <w:rFonts w:ascii="Arial" w:eastAsia="Times New Roman" w:hAnsi="Arial" w:cs="Arial"/>
          <w:sz w:val="20"/>
          <w:szCs w:val="20"/>
          <w:lang w:eastAsia="es-ES"/>
        </w:rPr>
        <w:br w:type="page"/>
      </w:r>
    </w:p>
    <w:p w:rsidR="00705458" w:rsidRDefault="00705458" w:rsidP="00705458">
      <w:pPr>
        <w:pStyle w:val="Textoindependiente"/>
        <w:spacing w:after="0" w:line="240" w:lineRule="auto"/>
        <w:ind w:left="360"/>
        <w:jc w:val="both"/>
        <w:rPr>
          <w:rFonts w:ascii="Arial" w:eastAsia="Times New Roman" w:hAnsi="Arial" w:cs="Arial"/>
          <w:sz w:val="20"/>
          <w:szCs w:val="20"/>
          <w:lang w:eastAsia="es-ES"/>
        </w:rPr>
      </w:pPr>
    </w:p>
    <w:p w:rsidR="00705458" w:rsidRPr="00705458" w:rsidRDefault="00705458" w:rsidP="00705458">
      <w:pPr>
        <w:spacing w:after="0" w:line="240" w:lineRule="auto"/>
        <w:jc w:val="both"/>
        <w:rPr>
          <w:rFonts w:ascii="Arial" w:eastAsia="Times New Roman" w:hAnsi="Arial" w:cs="Arial"/>
          <w:b/>
          <w:sz w:val="20"/>
          <w:szCs w:val="20"/>
          <w:lang w:eastAsia="es-ES"/>
        </w:rPr>
      </w:pPr>
      <w:r w:rsidRPr="00705458">
        <w:rPr>
          <w:rFonts w:ascii="Arial" w:eastAsia="Times New Roman" w:hAnsi="Arial" w:cs="Arial"/>
          <w:b/>
          <w:sz w:val="20"/>
          <w:szCs w:val="20"/>
          <w:lang w:eastAsia="es-ES"/>
        </w:rPr>
        <w:t>Indicador N°14 Días de duración  para el trámite de los planos presentados para revisión</w:t>
      </w:r>
    </w:p>
    <w:p w:rsidR="00705458" w:rsidRDefault="00705458" w:rsidP="00705458">
      <w:pPr>
        <w:spacing w:after="0" w:line="240" w:lineRule="auto"/>
        <w:jc w:val="both"/>
        <w:rPr>
          <w:rFonts w:ascii="Arial" w:eastAsia="Times New Roman" w:hAnsi="Arial" w:cs="Arial"/>
          <w:bCs/>
          <w:color w:val="000000"/>
          <w:sz w:val="20"/>
          <w:szCs w:val="20"/>
          <w:lang w:eastAsia="es-CR"/>
        </w:rPr>
      </w:pPr>
    </w:p>
    <w:p w:rsidR="00705458" w:rsidRPr="00705458" w:rsidRDefault="00705458" w:rsidP="00705458">
      <w:pPr>
        <w:spacing w:after="0" w:line="240" w:lineRule="auto"/>
        <w:jc w:val="both"/>
        <w:rPr>
          <w:rFonts w:ascii="Arial" w:eastAsia="Times New Roman" w:hAnsi="Arial" w:cs="Arial"/>
          <w:bCs/>
          <w:color w:val="000000"/>
          <w:sz w:val="20"/>
          <w:szCs w:val="20"/>
          <w:lang w:eastAsia="es-CR"/>
        </w:rPr>
      </w:pPr>
      <w:r w:rsidRPr="00705458">
        <w:rPr>
          <w:rFonts w:ascii="Arial" w:eastAsia="Times New Roman" w:hAnsi="Arial" w:cs="Arial"/>
          <w:bCs/>
          <w:color w:val="000000"/>
          <w:sz w:val="20"/>
          <w:szCs w:val="20"/>
          <w:lang w:eastAsia="es-CR"/>
        </w:rPr>
        <w:t>De enero a diciembre ingresaron y se revisaron 3.339 trámites en diferentes modalidades, como se puede observar en el cuadro siguiente. La revisión se llevó a cabo en un tiempo promedio de 9 días hábiles, cumpliéndose la meta programada en un 100%, la cual corresponde a 15 días hábiles.</w:t>
      </w:r>
    </w:p>
    <w:p w:rsidR="00705458" w:rsidRPr="00705458" w:rsidRDefault="00705458" w:rsidP="00705458">
      <w:pPr>
        <w:spacing w:after="0" w:line="240" w:lineRule="auto"/>
        <w:jc w:val="both"/>
        <w:rPr>
          <w:rFonts w:ascii="Arial" w:eastAsia="Times New Roman" w:hAnsi="Arial" w:cs="Arial"/>
          <w:bCs/>
          <w:color w:val="000000"/>
          <w:sz w:val="20"/>
          <w:szCs w:val="20"/>
          <w:lang w:eastAsia="es-CR"/>
        </w:rPr>
      </w:pPr>
    </w:p>
    <w:p w:rsidR="00705458" w:rsidRPr="00705458" w:rsidRDefault="00705458" w:rsidP="00705458">
      <w:pPr>
        <w:spacing w:after="0" w:line="240" w:lineRule="auto"/>
        <w:jc w:val="both"/>
        <w:rPr>
          <w:rFonts w:ascii="Arial" w:eastAsia="Times New Roman" w:hAnsi="Arial" w:cs="Arial"/>
          <w:bCs/>
          <w:color w:val="000000"/>
          <w:sz w:val="20"/>
          <w:szCs w:val="20"/>
          <w:lang w:eastAsia="es-CR"/>
        </w:rPr>
      </w:pPr>
      <w:r w:rsidRPr="00705458">
        <w:rPr>
          <w:rFonts w:ascii="Arial" w:eastAsia="Times New Roman" w:hAnsi="Arial" w:cs="Arial"/>
          <w:bCs/>
          <w:color w:val="000000"/>
          <w:sz w:val="20"/>
          <w:szCs w:val="20"/>
          <w:lang w:eastAsia="es-CR"/>
        </w:rPr>
        <w:t>El tiempo de atención fue inferior al establecido por ley, el cual es de 15 días hábiles.</w:t>
      </w:r>
    </w:p>
    <w:p w:rsidR="00705458" w:rsidRPr="00705458" w:rsidRDefault="00705458" w:rsidP="00705458">
      <w:pPr>
        <w:spacing w:after="0" w:line="240" w:lineRule="auto"/>
        <w:jc w:val="both"/>
        <w:rPr>
          <w:rFonts w:ascii="Arial" w:eastAsia="Times New Roman" w:hAnsi="Arial" w:cs="Arial"/>
          <w:bCs/>
          <w:color w:val="000000"/>
          <w:sz w:val="20"/>
          <w:szCs w:val="20"/>
          <w:lang w:eastAsia="es-CR"/>
        </w:rPr>
      </w:pPr>
    </w:p>
    <w:p w:rsidR="00705458" w:rsidRPr="00705458" w:rsidRDefault="00705458" w:rsidP="00705458">
      <w:pPr>
        <w:spacing w:after="0" w:line="240" w:lineRule="auto"/>
        <w:jc w:val="both"/>
        <w:rPr>
          <w:rFonts w:ascii="Arial" w:eastAsia="Times New Roman" w:hAnsi="Arial" w:cs="Arial"/>
          <w:bCs/>
          <w:color w:val="000000"/>
          <w:sz w:val="20"/>
          <w:szCs w:val="20"/>
          <w:lang w:eastAsia="es-CR"/>
        </w:rPr>
      </w:pPr>
      <w:r w:rsidRPr="00705458">
        <w:rPr>
          <w:rFonts w:ascii="Arial" w:eastAsia="Times New Roman" w:hAnsi="Arial" w:cs="Arial"/>
          <w:bCs/>
          <w:color w:val="000000"/>
          <w:sz w:val="20"/>
          <w:szCs w:val="20"/>
          <w:lang w:eastAsia="es-CR"/>
        </w:rPr>
        <w:t>Seguidamente se muestra un detalle de lo actuado:</w:t>
      </w:r>
    </w:p>
    <w:tbl>
      <w:tblPr>
        <w:tblW w:w="9103" w:type="dxa"/>
        <w:tblBorders>
          <w:insideH w:val="single" w:sz="6" w:space="0" w:color="000000"/>
          <w:insideV w:val="single" w:sz="6" w:space="0" w:color="000000"/>
        </w:tblBorders>
        <w:tblLook w:val="04A0" w:firstRow="1" w:lastRow="0" w:firstColumn="1" w:lastColumn="0" w:noHBand="0" w:noVBand="1"/>
      </w:tblPr>
      <w:tblGrid>
        <w:gridCol w:w="4293"/>
        <w:gridCol w:w="4810"/>
      </w:tblGrid>
      <w:tr w:rsidR="00705458" w:rsidRPr="00705458" w:rsidTr="00746DC0">
        <w:trPr>
          <w:trHeight w:val="270"/>
        </w:trPr>
        <w:tc>
          <w:tcPr>
            <w:tcW w:w="5000" w:type="pct"/>
            <w:gridSpan w:val="2"/>
            <w:shd w:val="clear" w:color="auto" w:fill="auto"/>
            <w:noWrap/>
            <w:hideMark/>
          </w:tcPr>
          <w:p w:rsidR="00705458" w:rsidRPr="00705458" w:rsidRDefault="00705458" w:rsidP="00705458">
            <w:pPr>
              <w:spacing w:after="0" w:line="240" w:lineRule="auto"/>
              <w:jc w:val="both"/>
              <w:rPr>
                <w:rFonts w:ascii="Arial" w:eastAsia="Times New Roman" w:hAnsi="Arial" w:cs="Arial"/>
                <w:bCs/>
                <w:color w:val="000000"/>
                <w:sz w:val="20"/>
                <w:szCs w:val="20"/>
                <w:lang w:eastAsia="es-CR"/>
              </w:rPr>
            </w:pPr>
          </w:p>
          <w:p w:rsidR="00705458" w:rsidRPr="007013E8" w:rsidRDefault="00705458" w:rsidP="007013E8">
            <w:pPr>
              <w:spacing w:after="0" w:line="240" w:lineRule="auto"/>
              <w:jc w:val="center"/>
              <w:rPr>
                <w:rFonts w:ascii="Arial" w:eastAsia="Times New Roman" w:hAnsi="Arial" w:cs="Arial"/>
                <w:b/>
                <w:bCs/>
                <w:color w:val="000000"/>
                <w:sz w:val="20"/>
                <w:szCs w:val="20"/>
                <w:lang w:eastAsia="es-CR"/>
              </w:rPr>
            </w:pPr>
            <w:r w:rsidRPr="007013E8">
              <w:rPr>
                <w:rFonts w:ascii="Arial" w:eastAsia="Times New Roman" w:hAnsi="Arial" w:cs="Arial"/>
                <w:b/>
                <w:bCs/>
                <w:color w:val="000000"/>
                <w:sz w:val="20"/>
                <w:szCs w:val="20"/>
                <w:lang w:eastAsia="es-CR"/>
              </w:rPr>
              <w:t>Tabla 13 Acciones Realizadas</w:t>
            </w:r>
          </w:p>
        </w:tc>
      </w:tr>
      <w:tr w:rsidR="00705458" w:rsidRPr="00705458" w:rsidTr="00746DC0">
        <w:trPr>
          <w:trHeight w:val="825"/>
        </w:trPr>
        <w:tc>
          <w:tcPr>
            <w:tcW w:w="2358" w:type="pct"/>
            <w:shd w:val="clear" w:color="auto" w:fill="auto"/>
            <w:hideMark/>
          </w:tcPr>
          <w:p w:rsidR="00705458" w:rsidRPr="00705458" w:rsidRDefault="00705458" w:rsidP="00705458">
            <w:pPr>
              <w:spacing w:after="0" w:line="240" w:lineRule="auto"/>
              <w:jc w:val="both"/>
              <w:rPr>
                <w:rFonts w:ascii="Arial" w:eastAsia="Times New Roman" w:hAnsi="Arial" w:cs="Arial"/>
                <w:bCs/>
                <w:color w:val="000000"/>
                <w:sz w:val="20"/>
                <w:szCs w:val="20"/>
                <w:lang w:eastAsia="es-CR"/>
              </w:rPr>
            </w:pPr>
            <w:r w:rsidRPr="00705458">
              <w:rPr>
                <w:rFonts w:ascii="Arial" w:eastAsia="Times New Roman" w:hAnsi="Arial" w:cs="Arial"/>
                <w:bCs/>
                <w:color w:val="000000"/>
                <w:sz w:val="20"/>
                <w:szCs w:val="20"/>
                <w:lang w:eastAsia="es-CR"/>
              </w:rPr>
              <w:t>a) Actividades realizadas:</w:t>
            </w:r>
          </w:p>
        </w:tc>
        <w:tc>
          <w:tcPr>
            <w:tcW w:w="2642" w:type="pct"/>
            <w:shd w:val="clear" w:color="auto" w:fill="auto"/>
          </w:tcPr>
          <w:p w:rsidR="00705458" w:rsidRPr="00705458" w:rsidRDefault="00705458" w:rsidP="00705458">
            <w:pPr>
              <w:spacing w:after="0" w:line="240" w:lineRule="auto"/>
              <w:jc w:val="both"/>
              <w:rPr>
                <w:rFonts w:ascii="Arial" w:eastAsia="Times New Roman" w:hAnsi="Arial" w:cs="Arial"/>
                <w:bCs/>
                <w:color w:val="000000"/>
                <w:sz w:val="20"/>
                <w:szCs w:val="20"/>
                <w:lang w:eastAsia="es-CR"/>
              </w:rPr>
            </w:pPr>
            <w:r w:rsidRPr="00705458">
              <w:rPr>
                <w:rFonts w:ascii="Arial" w:eastAsia="Times New Roman" w:hAnsi="Arial" w:cs="Arial"/>
                <w:bCs/>
                <w:color w:val="000000"/>
                <w:sz w:val="20"/>
                <w:szCs w:val="20"/>
                <w:lang w:eastAsia="es-CR"/>
              </w:rPr>
              <w:t>Las actividades realizadas responde al siguiente procedimiento:</w:t>
            </w:r>
          </w:p>
          <w:p w:rsidR="00705458" w:rsidRPr="00705458" w:rsidRDefault="00705458" w:rsidP="00705458">
            <w:pPr>
              <w:spacing w:after="0" w:line="240" w:lineRule="auto"/>
              <w:jc w:val="both"/>
              <w:rPr>
                <w:rFonts w:ascii="Arial" w:eastAsia="Times New Roman" w:hAnsi="Arial" w:cs="Arial"/>
                <w:bCs/>
                <w:color w:val="000000"/>
                <w:sz w:val="20"/>
                <w:szCs w:val="20"/>
                <w:lang w:eastAsia="es-CR"/>
              </w:rPr>
            </w:pPr>
            <w:r w:rsidRPr="00705458">
              <w:rPr>
                <w:rFonts w:ascii="Arial" w:eastAsia="Times New Roman" w:hAnsi="Arial" w:cs="Arial"/>
                <w:bCs/>
                <w:color w:val="000000"/>
                <w:sz w:val="20"/>
                <w:szCs w:val="20"/>
                <w:lang w:eastAsia="es-CR"/>
              </w:rPr>
              <w:t>- Ingreso a la página del Colegio Federado de Ingenieros y Arquitectos (CFIA).</w:t>
            </w:r>
          </w:p>
          <w:p w:rsidR="00705458" w:rsidRPr="00705458" w:rsidRDefault="00705458" w:rsidP="00705458">
            <w:pPr>
              <w:spacing w:after="0" w:line="240" w:lineRule="auto"/>
              <w:jc w:val="both"/>
              <w:rPr>
                <w:rFonts w:ascii="Arial" w:eastAsia="Times New Roman" w:hAnsi="Arial" w:cs="Arial"/>
                <w:bCs/>
                <w:color w:val="000000"/>
                <w:sz w:val="20"/>
                <w:szCs w:val="20"/>
                <w:lang w:eastAsia="es-CR"/>
              </w:rPr>
            </w:pPr>
            <w:r w:rsidRPr="00705458">
              <w:rPr>
                <w:rFonts w:ascii="Arial" w:eastAsia="Times New Roman" w:hAnsi="Arial" w:cs="Arial"/>
                <w:bCs/>
                <w:color w:val="000000"/>
                <w:sz w:val="20"/>
                <w:szCs w:val="20"/>
                <w:lang w:eastAsia="es-CR"/>
              </w:rPr>
              <w:t>- Asignación de proyectos a los profesionales de la unidad, de acuerdo con el listado de los mismos.</w:t>
            </w:r>
          </w:p>
          <w:p w:rsidR="00705458" w:rsidRPr="00705458" w:rsidRDefault="00705458" w:rsidP="00705458">
            <w:pPr>
              <w:spacing w:after="0" w:line="240" w:lineRule="auto"/>
              <w:jc w:val="both"/>
              <w:rPr>
                <w:rFonts w:ascii="Arial" w:eastAsia="Times New Roman" w:hAnsi="Arial" w:cs="Arial"/>
                <w:bCs/>
                <w:color w:val="000000"/>
                <w:sz w:val="20"/>
                <w:szCs w:val="20"/>
                <w:lang w:eastAsia="es-CR"/>
              </w:rPr>
            </w:pPr>
            <w:r w:rsidRPr="00705458">
              <w:rPr>
                <w:rFonts w:ascii="Arial" w:eastAsia="Times New Roman" w:hAnsi="Arial" w:cs="Arial"/>
                <w:bCs/>
                <w:color w:val="000000"/>
                <w:sz w:val="20"/>
                <w:szCs w:val="20"/>
                <w:lang w:eastAsia="es-CR"/>
              </w:rPr>
              <w:t>- Revisión de los planos y la documentación de respaldo.</w:t>
            </w:r>
          </w:p>
          <w:p w:rsidR="00705458" w:rsidRPr="00705458" w:rsidRDefault="00705458" w:rsidP="00705458">
            <w:pPr>
              <w:spacing w:after="0" w:line="240" w:lineRule="auto"/>
              <w:jc w:val="both"/>
              <w:rPr>
                <w:rFonts w:ascii="Arial" w:eastAsia="Times New Roman" w:hAnsi="Arial" w:cs="Arial"/>
                <w:bCs/>
                <w:color w:val="000000"/>
                <w:sz w:val="20"/>
                <w:szCs w:val="20"/>
                <w:lang w:eastAsia="es-CR"/>
              </w:rPr>
            </w:pPr>
            <w:r w:rsidRPr="00705458">
              <w:rPr>
                <w:rFonts w:ascii="Arial" w:eastAsia="Times New Roman" w:hAnsi="Arial" w:cs="Arial"/>
                <w:bCs/>
                <w:color w:val="000000"/>
                <w:sz w:val="20"/>
                <w:szCs w:val="20"/>
                <w:lang w:eastAsia="es-CR"/>
              </w:rPr>
              <w:t>- Anotación de observaciones, en caso de rechazo.</w:t>
            </w:r>
          </w:p>
          <w:p w:rsidR="00705458" w:rsidRPr="00705458" w:rsidRDefault="00705458" w:rsidP="00705458">
            <w:pPr>
              <w:spacing w:after="0" w:line="240" w:lineRule="auto"/>
              <w:jc w:val="both"/>
              <w:rPr>
                <w:rFonts w:ascii="Arial" w:eastAsia="Times New Roman" w:hAnsi="Arial" w:cs="Arial"/>
                <w:bCs/>
                <w:color w:val="000000"/>
                <w:sz w:val="20"/>
                <w:szCs w:val="20"/>
                <w:lang w:eastAsia="es-CR"/>
              </w:rPr>
            </w:pPr>
            <w:r w:rsidRPr="00705458">
              <w:rPr>
                <w:rFonts w:ascii="Arial" w:eastAsia="Times New Roman" w:hAnsi="Arial" w:cs="Arial"/>
                <w:bCs/>
                <w:color w:val="000000"/>
                <w:sz w:val="20"/>
                <w:szCs w:val="20"/>
                <w:lang w:eastAsia="es-CR"/>
              </w:rPr>
              <w:t xml:space="preserve">- Emisión de la resolución de aprobación o rechazo. </w:t>
            </w:r>
          </w:p>
          <w:p w:rsidR="00705458" w:rsidRPr="00705458" w:rsidRDefault="00705458" w:rsidP="00705458">
            <w:pPr>
              <w:spacing w:after="0" w:line="240" w:lineRule="auto"/>
              <w:jc w:val="both"/>
              <w:rPr>
                <w:rFonts w:ascii="Arial" w:eastAsia="Times New Roman" w:hAnsi="Arial" w:cs="Arial"/>
                <w:bCs/>
                <w:color w:val="000000"/>
                <w:sz w:val="20"/>
                <w:szCs w:val="20"/>
                <w:lang w:eastAsia="es-CR"/>
              </w:rPr>
            </w:pPr>
            <w:r w:rsidRPr="00705458">
              <w:rPr>
                <w:rFonts w:ascii="Arial" w:eastAsia="Times New Roman" w:hAnsi="Arial" w:cs="Arial"/>
                <w:bCs/>
                <w:color w:val="000000"/>
                <w:sz w:val="20"/>
                <w:szCs w:val="20"/>
                <w:lang w:eastAsia="es-CR"/>
              </w:rPr>
              <w:t>El proceso de revisión se realiza en el APC de la página del CFIA.</w:t>
            </w:r>
          </w:p>
          <w:p w:rsidR="00705458" w:rsidRPr="00705458" w:rsidRDefault="00705458" w:rsidP="00705458">
            <w:pPr>
              <w:spacing w:after="0" w:line="240" w:lineRule="auto"/>
              <w:jc w:val="both"/>
              <w:rPr>
                <w:rFonts w:ascii="Arial" w:eastAsia="Times New Roman" w:hAnsi="Arial" w:cs="Arial"/>
                <w:bCs/>
                <w:color w:val="000000"/>
                <w:sz w:val="20"/>
                <w:szCs w:val="20"/>
                <w:lang w:eastAsia="es-CR"/>
              </w:rPr>
            </w:pPr>
          </w:p>
        </w:tc>
      </w:tr>
      <w:tr w:rsidR="00705458" w:rsidRPr="00705458" w:rsidTr="00746DC0">
        <w:trPr>
          <w:trHeight w:val="705"/>
        </w:trPr>
        <w:tc>
          <w:tcPr>
            <w:tcW w:w="2358" w:type="pct"/>
            <w:shd w:val="clear" w:color="auto" w:fill="auto"/>
            <w:hideMark/>
          </w:tcPr>
          <w:p w:rsidR="00705458" w:rsidRPr="00705458" w:rsidRDefault="00705458" w:rsidP="00705458">
            <w:pPr>
              <w:spacing w:after="0" w:line="240" w:lineRule="auto"/>
              <w:jc w:val="both"/>
              <w:rPr>
                <w:rFonts w:ascii="Arial" w:eastAsia="Times New Roman" w:hAnsi="Arial" w:cs="Arial"/>
                <w:bCs/>
                <w:color w:val="000000"/>
                <w:sz w:val="20"/>
                <w:szCs w:val="20"/>
                <w:lang w:eastAsia="es-CR"/>
              </w:rPr>
            </w:pPr>
            <w:r w:rsidRPr="00705458">
              <w:rPr>
                <w:rFonts w:ascii="Arial" w:eastAsia="Times New Roman" w:hAnsi="Arial" w:cs="Arial"/>
                <w:bCs/>
                <w:color w:val="000000"/>
                <w:sz w:val="20"/>
                <w:szCs w:val="20"/>
                <w:lang w:eastAsia="es-CR"/>
              </w:rPr>
              <w:t xml:space="preserve">b) Limitaciones: </w:t>
            </w:r>
          </w:p>
          <w:p w:rsidR="00705458" w:rsidRPr="00705458" w:rsidRDefault="00705458" w:rsidP="00705458">
            <w:pPr>
              <w:spacing w:after="0" w:line="240" w:lineRule="auto"/>
              <w:jc w:val="both"/>
              <w:rPr>
                <w:rFonts w:ascii="Arial" w:eastAsia="Times New Roman" w:hAnsi="Arial" w:cs="Arial"/>
                <w:bCs/>
                <w:color w:val="000000"/>
                <w:sz w:val="20"/>
                <w:szCs w:val="20"/>
                <w:lang w:eastAsia="es-CR"/>
              </w:rPr>
            </w:pPr>
          </w:p>
          <w:p w:rsidR="00705458" w:rsidRPr="00705458" w:rsidRDefault="00705458" w:rsidP="00705458">
            <w:pPr>
              <w:spacing w:after="0" w:line="240" w:lineRule="auto"/>
              <w:jc w:val="both"/>
              <w:rPr>
                <w:rFonts w:ascii="Arial" w:eastAsia="Times New Roman" w:hAnsi="Arial" w:cs="Arial"/>
                <w:bCs/>
                <w:color w:val="000000"/>
                <w:sz w:val="20"/>
                <w:szCs w:val="20"/>
                <w:lang w:eastAsia="es-CR"/>
              </w:rPr>
            </w:pPr>
          </w:p>
        </w:tc>
        <w:tc>
          <w:tcPr>
            <w:tcW w:w="2642" w:type="pct"/>
            <w:shd w:val="clear" w:color="auto" w:fill="auto"/>
          </w:tcPr>
          <w:p w:rsidR="00705458" w:rsidRPr="00705458" w:rsidRDefault="00705458" w:rsidP="00705458">
            <w:pPr>
              <w:spacing w:after="0" w:line="240" w:lineRule="auto"/>
              <w:jc w:val="both"/>
              <w:rPr>
                <w:rFonts w:ascii="Arial" w:eastAsia="Times New Roman" w:hAnsi="Arial" w:cs="Arial"/>
                <w:bCs/>
                <w:color w:val="000000"/>
                <w:sz w:val="20"/>
                <w:szCs w:val="20"/>
                <w:lang w:eastAsia="es-CR"/>
              </w:rPr>
            </w:pPr>
            <w:r w:rsidRPr="00705458">
              <w:rPr>
                <w:rFonts w:ascii="Arial" w:eastAsia="Times New Roman" w:hAnsi="Arial" w:cs="Arial"/>
                <w:bCs/>
                <w:color w:val="000000"/>
                <w:sz w:val="20"/>
                <w:szCs w:val="20"/>
                <w:lang w:eastAsia="es-CR"/>
              </w:rPr>
              <w:t>Problemas con el servicio de internet, lo que afectó en forma ocasional las labores, porque la revisión se realiza en la página del CFIA. Lo anterior a pesar de que se cuenta con una línea dedicada.</w:t>
            </w:r>
          </w:p>
          <w:p w:rsidR="00705458" w:rsidRPr="00705458" w:rsidRDefault="00705458" w:rsidP="00705458">
            <w:pPr>
              <w:spacing w:after="0" w:line="240" w:lineRule="auto"/>
              <w:jc w:val="both"/>
              <w:rPr>
                <w:rFonts w:ascii="Arial" w:eastAsia="Times New Roman" w:hAnsi="Arial" w:cs="Arial"/>
                <w:bCs/>
                <w:color w:val="000000"/>
                <w:sz w:val="20"/>
                <w:szCs w:val="20"/>
                <w:lang w:eastAsia="es-CR"/>
              </w:rPr>
            </w:pPr>
            <w:r w:rsidRPr="00705458">
              <w:rPr>
                <w:rFonts w:ascii="Arial" w:eastAsia="Times New Roman" w:hAnsi="Arial" w:cs="Arial"/>
                <w:bCs/>
                <w:color w:val="000000"/>
                <w:sz w:val="20"/>
                <w:szCs w:val="20"/>
                <w:lang w:eastAsia="es-CR"/>
              </w:rPr>
              <w:t xml:space="preserve"> </w:t>
            </w:r>
          </w:p>
        </w:tc>
      </w:tr>
      <w:tr w:rsidR="00705458" w:rsidRPr="00705458" w:rsidTr="00746DC0">
        <w:trPr>
          <w:trHeight w:val="741"/>
        </w:trPr>
        <w:tc>
          <w:tcPr>
            <w:tcW w:w="2358" w:type="pct"/>
            <w:shd w:val="clear" w:color="auto" w:fill="auto"/>
            <w:hideMark/>
          </w:tcPr>
          <w:p w:rsidR="00705458" w:rsidRPr="00705458" w:rsidRDefault="00705458" w:rsidP="00705458">
            <w:pPr>
              <w:spacing w:after="0" w:line="240" w:lineRule="auto"/>
              <w:jc w:val="both"/>
              <w:rPr>
                <w:rFonts w:ascii="Arial" w:eastAsia="Times New Roman" w:hAnsi="Arial" w:cs="Arial"/>
                <w:bCs/>
                <w:color w:val="000000"/>
                <w:sz w:val="20"/>
                <w:szCs w:val="20"/>
                <w:lang w:eastAsia="es-CR"/>
              </w:rPr>
            </w:pPr>
            <w:r w:rsidRPr="00705458">
              <w:rPr>
                <w:rFonts w:ascii="Arial" w:eastAsia="Times New Roman" w:hAnsi="Arial" w:cs="Arial"/>
                <w:bCs/>
                <w:color w:val="000000"/>
                <w:sz w:val="20"/>
                <w:szCs w:val="20"/>
                <w:lang w:eastAsia="es-CR"/>
              </w:rPr>
              <w:t>c) Medidas correctivas o acciones de mejora (realizadas y por realizar) para el logro de la meta:</w:t>
            </w:r>
          </w:p>
          <w:p w:rsidR="00705458" w:rsidRPr="00705458" w:rsidRDefault="00705458" w:rsidP="00705458">
            <w:pPr>
              <w:spacing w:after="0" w:line="240" w:lineRule="auto"/>
              <w:jc w:val="both"/>
              <w:rPr>
                <w:rFonts w:ascii="Arial" w:eastAsia="Times New Roman" w:hAnsi="Arial" w:cs="Arial"/>
                <w:bCs/>
                <w:color w:val="000000"/>
                <w:sz w:val="20"/>
                <w:szCs w:val="20"/>
                <w:lang w:eastAsia="es-CR"/>
              </w:rPr>
            </w:pPr>
          </w:p>
        </w:tc>
        <w:tc>
          <w:tcPr>
            <w:tcW w:w="2642" w:type="pct"/>
            <w:shd w:val="clear" w:color="auto" w:fill="auto"/>
          </w:tcPr>
          <w:p w:rsidR="00705458" w:rsidRPr="00705458" w:rsidRDefault="00705458" w:rsidP="00705458">
            <w:pPr>
              <w:spacing w:after="0" w:line="240" w:lineRule="auto"/>
              <w:jc w:val="both"/>
              <w:rPr>
                <w:rFonts w:ascii="Arial" w:eastAsia="Times New Roman" w:hAnsi="Arial" w:cs="Arial"/>
                <w:bCs/>
                <w:color w:val="000000"/>
                <w:sz w:val="20"/>
                <w:szCs w:val="20"/>
                <w:lang w:eastAsia="es-CR"/>
              </w:rPr>
            </w:pPr>
            <w:r w:rsidRPr="00705458">
              <w:rPr>
                <w:rFonts w:ascii="Arial" w:eastAsia="Times New Roman" w:hAnsi="Arial" w:cs="Arial"/>
                <w:bCs/>
                <w:color w:val="000000"/>
                <w:sz w:val="20"/>
                <w:szCs w:val="20"/>
                <w:lang w:eastAsia="es-CR"/>
              </w:rPr>
              <w:t>- Reporte del problema a la Unidad de Tecnologías de Información y/o al Colegio Federado de Ingenieros y Arquitectos (CFIA).</w:t>
            </w:r>
          </w:p>
          <w:p w:rsidR="00705458" w:rsidRPr="00705458" w:rsidRDefault="00705458" w:rsidP="00705458">
            <w:pPr>
              <w:spacing w:after="0" w:line="240" w:lineRule="auto"/>
              <w:jc w:val="both"/>
              <w:rPr>
                <w:rFonts w:ascii="Arial" w:eastAsia="Times New Roman" w:hAnsi="Arial" w:cs="Arial"/>
                <w:bCs/>
                <w:color w:val="000000"/>
                <w:sz w:val="20"/>
                <w:szCs w:val="20"/>
                <w:lang w:eastAsia="es-CR"/>
              </w:rPr>
            </w:pPr>
            <w:r w:rsidRPr="00705458">
              <w:rPr>
                <w:rFonts w:ascii="Arial" w:eastAsia="Times New Roman" w:hAnsi="Arial" w:cs="Arial"/>
                <w:bCs/>
                <w:color w:val="000000"/>
                <w:sz w:val="20"/>
                <w:szCs w:val="20"/>
                <w:lang w:eastAsia="es-CR"/>
              </w:rPr>
              <w:t>- Cambio de equipo de cómputo, por parte de la Unidad de Tecnologías de Información.</w:t>
            </w:r>
          </w:p>
          <w:p w:rsidR="00705458" w:rsidRPr="00705458" w:rsidRDefault="00705458" w:rsidP="00705458">
            <w:pPr>
              <w:spacing w:after="0" w:line="240" w:lineRule="auto"/>
              <w:jc w:val="both"/>
              <w:rPr>
                <w:rFonts w:ascii="Arial" w:eastAsia="Times New Roman" w:hAnsi="Arial" w:cs="Arial"/>
                <w:bCs/>
                <w:color w:val="000000"/>
                <w:sz w:val="20"/>
                <w:szCs w:val="20"/>
                <w:lang w:eastAsia="es-CR"/>
              </w:rPr>
            </w:pPr>
          </w:p>
        </w:tc>
      </w:tr>
      <w:tr w:rsidR="00705458" w:rsidRPr="00705458" w:rsidTr="00746DC0">
        <w:trPr>
          <w:trHeight w:val="850"/>
        </w:trPr>
        <w:tc>
          <w:tcPr>
            <w:tcW w:w="2358" w:type="pct"/>
            <w:shd w:val="clear" w:color="auto" w:fill="auto"/>
          </w:tcPr>
          <w:p w:rsidR="00705458" w:rsidRPr="00705458" w:rsidRDefault="00705458" w:rsidP="00705458">
            <w:pPr>
              <w:spacing w:after="0" w:line="240" w:lineRule="auto"/>
              <w:jc w:val="both"/>
              <w:rPr>
                <w:rFonts w:ascii="Arial" w:eastAsia="Times New Roman" w:hAnsi="Arial" w:cs="Arial"/>
                <w:bCs/>
                <w:color w:val="000000"/>
                <w:sz w:val="20"/>
                <w:szCs w:val="20"/>
                <w:lang w:eastAsia="es-CR"/>
              </w:rPr>
            </w:pPr>
            <w:r w:rsidRPr="00705458">
              <w:rPr>
                <w:rFonts w:ascii="Arial" w:eastAsia="Times New Roman" w:hAnsi="Arial" w:cs="Arial"/>
                <w:bCs/>
                <w:color w:val="000000"/>
                <w:sz w:val="20"/>
                <w:szCs w:val="20"/>
                <w:lang w:eastAsia="es-CR"/>
              </w:rPr>
              <w:t>Observaciones:</w:t>
            </w:r>
          </w:p>
        </w:tc>
        <w:tc>
          <w:tcPr>
            <w:tcW w:w="2642" w:type="pct"/>
            <w:shd w:val="clear" w:color="auto" w:fill="auto"/>
          </w:tcPr>
          <w:p w:rsidR="00705458" w:rsidRPr="00705458" w:rsidRDefault="00705458" w:rsidP="00705458">
            <w:pPr>
              <w:spacing w:after="0" w:line="240" w:lineRule="auto"/>
              <w:jc w:val="both"/>
              <w:rPr>
                <w:rFonts w:ascii="Arial" w:eastAsia="Times New Roman" w:hAnsi="Arial" w:cs="Arial"/>
                <w:bCs/>
                <w:color w:val="000000"/>
                <w:sz w:val="20"/>
                <w:szCs w:val="20"/>
                <w:lang w:eastAsia="es-CR"/>
              </w:rPr>
            </w:pPr>
            <w:r w:rsidRPr="00705458">
              <w:rPr>
                <w:rFonts w:ascii="Arial" w:eastAsia="Times New Roman" w:hAnsi="Arial" w:cs="Arial"/>
                <w:bCs/>
                <w:color w:val="000000"/>
                <w:sz w:val="20"/>
                <w:szCs w:val="20"/>
                <w:lang w:eastAsia="es-CR"/>
              </w:rPr>
              <w:t xml:space="preserve">- El tiempo de revisión corresponde a 15 días hábiles para la primera vez y 8 días hábiles para la segunda vez, para los casos de proyectos de urbanizaciones y condominios. </w:t>
            </w:r>
          </w:p>
          <w:p w:rsidR="00705458" w:rsidRPr="00705458" w:rsidRDefault="00705458" w:rsidP="00705458">
            <w:pPr>
              <w:spacing w:after="0" w:line="240" w:lineRule="auto"/>
              <w:jc w:val="both"/>
              <w:rPr>
                <w:rFonts w:ascii="Arial" w:eastAsia="Times New Roman" w:hAnsi="Arial" w:cs="Arial"/>
                <w:bCs/>
                <w:color w:val="000000"/>
                <w:sz w:val="20"/>
                <w:szCs w:val="20"/>
                <w:lang w:eastAsia="es-CR"/>
              </w:rPr>
            </w:pPr>
            <w:r w:rsidRPr="00705458">
              <w:rPr>
                <w:rFonts w:ascii="Arial" w:eastAsia="Times New Roman" w:hAnsi="Arial" w:cs="Arial"/>
                <w:bCs/>
                <w:color w:val="000000"/>
                <w:sz w:val="20"/>
                <w:szCs w:val="20"/>
                <w:lang w:eastAsia="es-CR"/>
              </w:rPr>
              <w:t>- La meta corresponde al plazo mayor (15 días hábiles) porque es conforme con lo establecido por ley. El servicio responde al comportamiento de la oferta y la demanda del mercado de construcción.</w:t>
            </w:r>
          </w:p>
          <w:p w:rsidR="00705458" w:rsidRPr="00705458" w:rsidRDefault="00705458" w:rsidP="00705458">
            <w:pPr>
              <w:spacing w:after="0" w:line="240" w:lineRule="auto"/>
              <w:jc w:val="both"/>
              <w:rPr>
                <w:rFonts w:ascii="Arial" w:eastAsia="Times New Roman" w:hAnsi="Arial" w:cs="Arial"/>
                <w:bCs/>
                <w:color w:val="000000"/>
                <w:sz w:val="20"/>
                <w:szCs w:val="20"/>
                <w:lang w:eastAsia="es-CR"/>
              </w:rPr>
            </w:pPr>
            <w:r w:rsidRPr="00705458">
              <w:rPr>
                <w:rFonts w:ascii="Arial" w:eastAsia="Times New Roman" w:hAnsi="Arial" w:cs="Arial"/>
                <w:bCs/>
                <w:color w:val="000000"/>
                <w:sz w:val="20"/>
                <w:szCs w:val="20"/>
                <w:lang w:eastAsia="es-CR"/>
              </w:rPr>
              <w:t>- La información de los días promedio de revisión se calcula con los tiempos por primera vez, el cual es el resultado del registro que lleva cada analista</w:t>
            </w:r>
            <w:r w:rsidRPr="00705458">
              <w:rPr>
                <w:rFonts w:ascii="Arial" w:eastAsia="Times New Roman" w:hAnsi="Arial" w:cs="Arial"/>
                <w:bCs/>
                <w:color w:val="000000"/>
                <w:sz w:val="20"/>
                <w:szCs w:val="20"/>
                <w:lang w:eastAsia="es-CR"/>
              </w:rPr>
              <w:br w:type="page"/>
              <w:t>.</w:t>
            </w:r>
          </w:p>
          <w:p w:rsidR="00705458" w:rsidRPr="00705458" w:rsidRDefault="00705458" w:rsidP="00705458">
            <w:pPr>
              <w:spacing w:after="0" w:line="240" w:lineRule="auto"/>
              <w:jc w:val="both"/>
              <w:rPr>
                <w:rFonts w:ascii="Arial" w:eastAsia="Times New Roman" w:hAnsi="Arial" w:cs="Arial"/>
                <w:bCs/>
                <w:color w:val="000000"/>
                <w:sz w:val="20"/>
                <w:szCs w:val="20"/>
                <w:lang w:eastAsia="es-CR"/>
              </w:rPr>
            </w:pPr>
          </w:p>
        </w:tc>
      </w:tr>
    </w:tbl>
    <w:p w:rsidR="00705458" w:rsidRPr="001E2626" w:rsidRDefault="00705458" w:rsidP="00705458">
      <w:pPr>
        <w:spacing w:after="0" w:line="240" w:lineRule="auto"/>
        <w:jc w:val="both"/>
        <w:rPr>
          <w:rFonts w:ascii="Arial" w:eastAsia="Times New Roman" w:hAnsi="Arial" w:cs="Arial"/>
          <w:bCs/>
          <w:color w:val="000000"/>
          <w:sz w:val="18"/>
          <w:szCs w:val="18"/>
          <w:lang w:eastAsia="es-CR"/>
        </w:rPr>
      </w:pPr>
      <w:r w:rsidRPr="001E2626">
        <w:rPr>
          <w:rFonts w:ascii="Arial" w:eastAsia="Times New Roman" w:hAnsi="Arial" w:cs="Arial"/>
          <w:bCs/>
          <w:color w:val="000000"/>
          <w:sz w:val="18"/>
          <w:szCs w:val="18"/>
          <w:lang w:eastAsia="es-CR"/>
        </w:rPr>
        <w:t>Nota Fuente: Informe de rendimiento de cuentas de área. (2017)</w:t>
      </w:r>
    </w:p>
    <w:p w:rsidR="00705458" w:rsidRPr="00705458" w:rsidRDefault="00705458" w:rsidP="00705458">
      <w:pPr>
        <w:spacing w:after="0" w:line="240" w:lineRule="auto"/>
        <w:jc w:val="center"/>
        <w:rPr>
          <w:rFonts w:ascii="Arial" w:eastAsia="Times New Roman" w:hAnsi="Arial" w:cs="Arial"/>
          <w:b/>
          <w:bCs/>
          <w:color w:val="000000"/>
          <w:sz w:val="18"/>
          <w:szCs w:val="18"/>
          <w:lang w:eastAsia="es-CR"/>
        </w:rPr>
      </w:pPr>
      <w:r w:rsidRPr="00705458">
        <w:rPr>
          <w:rFonts w:ascii="Arial" w:eastAsia="Times New Roman" w:hAnsi="Arial" w:cs="Arial"/>
          <w:b/>
          <w:bCs/>
          <w:color w:val="000000"/>
          <w:sz w:val="18"/>
          <w:szCs w:val="18"/>
          <w:lang w:eastAsia="es-CR"/>
        </w:rPr>
        <w:lastRenderedPageBreak/>
        <w:t xml:space="preserve">Cuadro 6 Detalle de Trámites  </w:t>
      </w:r>
    </w:p>
    <w:p w:rsidR="00705458" w:rsidRPr="00705458" w:rsidRDefault="00705458" w:rsidP="00705458">
      <w:pPr>
        <w:spacing w:after="0" w:line="240" w:lineRule="auto"/>
        <w:jc w:val="center"/>
        <w:rPr>
          <w:rFonts w:ascii="Arial" w:eastAsia="Times New Roman" w:hAnsi="Arial" w:cs="Arial"/>
          <w:b/>
          <w:bCs/>
          <w:color w:val="000000"/>
          <w:sz w:val="18"/>
          <w:szCs w:val="18"/>
          <w:lang w:eastAsia="es-CR"/>
        </w:rPr>
      </w:pPr>
      <w:r w:rsidRPr="00705458">
        <w:rPr>
          <w:rFonts w:ascii="Arial" w:eastAsia="Times New Roman" w:hAnsi="Arial" w:cs="Arial"/>
          <w:b/>
          <w:bCs/>
          <w:color w:val="000000"/>
          <w:sz w:val="18"/>
          <w:szCs w:val="18"/>
          <w:lang w:eastAsia="es-CR"/>
        </w:rPr>
        <w:t>(Enero – Diciembre 2017)</w:t>
      </w:r>
    </w:p>
    <w:tbl>
      <w:tblPr>
        <w:tblW w:w="5115" w:type="pct"/>
        <w:tblCellMar>
          <w:left w:w="70" w:type="dxa"/>
          <w:right w:w="70" w:type="dxa"/>
        </w:tblCellMar>
        <w:tblLook w:val="04A0" w:firstRow="1" w:lastRow="0" w:firstColumn="1" w:lastColumn="0" w:noHBand="0" w:noVBand="1"/>
      </w:tblPr>
      <w:tblGrid>
        <w:gridCol w:w="372"/>
        <w:gridCol w:w="3521"/>
        <w:gridCol w:w="667"/>
        <w:gridCol w:w="667"/>
        <w:gridCol w:w="667"/>
        <w:gridCol w:w="674"/>
        <w:gridCol w:w="667"/>
        <w:gridCol w:w="1091"/>
        <w:gridCol w:w="858"/>
      </w:tblGrid>
      <w:tr w:rsidR="00705458" w:rsidRPr="00916ECF" w:rsidTr="00916ECF">
        <w:trPr>
          <w:trHeight w:val="208"/>
        </w:trPr>
        <w:tc>
          <w:tcPr>
            <w:tcW w:w="204" w:type="pct"/>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
                <w:bCs/>
                <w:color w:val="000000"/>
                <w:sz w:val="18"/>
                <w:szCs w:val="18"/>
                <w:lang w:eastAsia="es-CR"/>
              </w:rPr>
            </w:pPr>
            <w:r w:rsidRPr="00916ECF">
              <w:rPr>
                <w:rFonts w:ascii="Arial" w:eastAsia="Times New Roman" w:hAnsi="Arial" w:cs="Arial"/>
                <w:b/>
                <w:bCs/>
                <w:color w:val="000000"/>
                <w:sz w:val="18"/>
                <w:szCs w:val="18"/>
                <w:lang w:eastAsia="es-CR"/>
              </w:rPr>
              <w:t>N°</w:t>
            </w:r>
          </w:p>
        </w:tc>
        <w:tc>
          <w:tcPr>
            <w:tcW w:w="1918" w:type="pct"/>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
                <w:bCs/>
                <w:color w:val="000000"/>
                <w:sz w:val="18"/>
                <w:szCs w:val="18"/>
                <w:lang w:eastAsia="es-CR"/>
              </w:rPr>
            </w:pPr>
            <w:r w:rsidRPr="00916ECF">
              <w:rPr>
                <w:rFonts w:ascii="Arial" w:eastAsia="Times New Roman" w:hAnsi="Arial" w:cs="Arial"/>
                <w:b/>
                <w:bCs/>
                <w:color w:val="000000"/>
                <w:sz w:val="18"/>
                <w:szCs w:val="18"/>
                <w:lang w:eastAsia="es-CR"/>
              </w:rPr>
              <w:t>Trámites</w:t>
            </w:r>
          </w:p>
        </w:tc>
        <w:tc>
          <w:tcPr>
            <w:tcW w:w="1460" w:type="pct"/>
            <w:gridSpan w:val="4"/>
            <w:tcBorders>
              <w:top w:val="single" w:sz="8" w:space="0" w:color="auto"/>
              <w:left w:val="nil"/>
              <w:bottom w:val="single" w:sz="4" w:space="0" w:color="auto"/>
              <w:right w:val="single" w:sz="4" w:space="0" w:color="auto"/>
            </w:tcBorders>
            <w:shd w:val="clear" w:color="auto" w:fill="auto"/>
            <w:noWrap/>
            <w:vAlign w:val="bottom"/>
            <w:hideMark/>
          </w:tcPr>
          <w:p w:rsidR="00705458" w:rsidRPr="00916ECF" w:rsidRDefault="00705458" w:rsidP="00705458">
            <w:pPr>
              <w:spacing w:after="0" w:line="240" w:lineRule="auto"/>
              <w:jc w:val="center"/>
              <w:rPr>
                <w:rFonts w:ascii="Arial" w:eastAsia="Times New Roman" w:hAnsi="Arial" w:cs="Arial"/>
                <w:b/>
                <w:bCs/>
                <w:color w:val="000000"/>
                <w:sz w:val="18"/>
                <w:szCs w:val="18"/>
                <w:lang w:eastAsia="es-CR"/>
              </w:rPr>
            </w:pPr>
            <w:r w:rsidRPr="00916ECF">
              <w:rPr>
                <w:rFonts w:ascii="Arial" w:eastAsia="Times New Roman" w:hAnsi="Arial" w:cs="Arial"/>
                <w:b/>
                <w:bCs/>
                <w:color w:val="000000"/>
                <w:sz w:val="18"/>
                <w:szCs w:val="18"/>
                <w:lang w:eastAsia="es-CR"/>
              </w:rPr>
              <w:t>Trimestres</w:t>
            </w:r>
          </w:p>
        </w:tc>
        <w:tc>
          <w:tcPr>
            <w:tcW w:w="364" w:type="pct"/>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
                <w:bCs/>
                <w:color w:val="000000"/>
                <w:sz w:val="18"/>
                <w:szCs w:val="18"/>
                <w:lang w:eastAsia="es-CR"/>
              </w:rPr>
            </w:pPr>
            <w:r w:rsidRPr="00916ECF">
              <w:rPr>
                <w:rFonts w:ascii="Arial" w:eastAsia="Times New Roman" w:hAnsi="Arial" w:cs="Arial"/>
                <w:b/>
                <w:bCs/>
                <w:color w:val="000000"/>
                <w:sz w:val="18"/>
                <w:szCs w:val="18"/>
                <w:lang w:eastAsia="es-CR"/>
              </w:rPr>
              <w:t>Total</w:t>
            </w:r>
          </w:p>
        </w:tc>
        <w:tc>
          <w:tcPr>
            <w:tcW w:w="586" w:type="pct"/>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
                <w:bCs/>
                <w:color w:val="000000"/>
                <w:sz w:val="18"/>
                <w:szCs w:val="18"/>
                <w:lang w:eastAsia="es-CR"/>
              </w:rPr>
            </w:pPr>
            <w:r w:rsidRPr="00916ECF">
              <w:rPr>
                <w:rFonts w:ascii="Arial" w:eastAsia="Times New Roman" w:hAnsi="Arial" w:cs="Arial"/>
                <w:b/>
                <w:bCs/>
                <w:color w:val="000000"/>
                <w:sz w:val="18"/>
                <w:szCs w:val="18"/>
                <w:lang w:eastAsia="es-CR"/>
              </w:rPr>
              <w:t>Aprobados</w:t>
            </w:r>
          </w:p>
        </w:tc>
        <w:tc>
          <w:tcPr>
            <w:tcW w:w="469" w:type="pct"/>
            <w:vMerge w:val="restart"/>
            <w:tcBorders>
              <w:top w:val="single" w:sz="8" w:space="0" w:color="auto"/>
              <w:left w:val="single" w:sz="4" w:space="0" w:color="auto"/>
              <w:bottom w:val="single" w:sz="8" w:space="0" w:color="000000"/>
              <w:right w:val="single" w:sz="8"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
                <w:bCs/>
                <w:color w:val="000000"/>
                <w:sz w:val="18"/>
                <w:szCs w:val="18"/>
                <w:lang w:eastAsia="es-CR"/>
              </w:rPr>
            </w:pPr>
            <w:r w:rsidRPr="00916ECF">
              <w:rPr>
                <w:rFonts w:ascii="Arial" w:eastAsia="Times New Roman" w:hAnsi="Arial" w:cs="Arial"/>
                <w:b/>
                <w:bCs/>
                <w:color w:val="000000"/>
                <w:sz w:val="18"/>
                <w:szCs w:val="18"/>
                <w:lang w:eastAsia="es-CR"/>
              </w:rPr>
              <w:t>%</w:t>
            </w:r>
          </w:p>
        </w:tc>
      </w:tr>
      <w:tr w:rsidR="00705458" w:rsidRPr="00916ECF" w:rsidTr="00916ECF">
        <w:trPr>
          <w:trHeight w:val="221"/>
        </w:trPr>
        <w:tc>
          <w:tcPr>
            <w:tcW w:w="204" w:type="pct"/>
            <w:vMerge/>
            <w:tcBorders>
              <w:top w:val="single" w:sz="8" w:space="0" w:color="auto"/>
              <w:left w:val="single" w:sz="8" w:space="0" w:color="auto"/>
              <w:bottom w:val="single" w:sz="8" w:space="0" w:color="000000"/>
              <w:right w:val="single" w:sz="4" w:space="0" w:color="auto"/>
            </w:tcBorders>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p>
        </w:tc>
        <w:tc>
          <w:tcPr>
            <w:tcW w:w="1918" w:type="pct"/>
            <w:vMerge/>
            <w:tcBorders>
              <w:top w:val="single" w:sz="8" w:space="0" w:color="auto"/>
              <w:left w:val="single" w:sz="4" w:space="0" w:color="auto"/>
              <w:bottom w:val="single" w:sz="8" w:space="0" w:color="000000"/>
              <w:right w:val="single" w:sz="4" w:space="0" w:color="auto"/>
            </w:tcBorders>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p>
        </w:tc>
        <w:tc>
          <w:tcPr>
            <w:tcW w:w="364" w:type="pct"/>
            <w:tcBorders>
              <w:top w:val="nil"/>
              <w:left w:val="nil"/>
              <w:bottom w:val="single" w:sz="8" w:space="0" w:color="auto"/>
              <w:right w:val="single" w:sz="4" w:space="0" w:color="auto"/>
            </w:tcBorders>
            <w:shd w:val="clear" w:color="auto" w:fill="auto"/>
            <w:noWrap/>
            <w:vAlign w:val="bottom"/>
            <w:hideMark/>
          </w:tcPr>
          <w:p w:rsidR="00705458" w:rsidRPr="00916ECF" w:rsidRDefault="00705458" w:rsidP="00705458">
            <w:pPr>
              <w:spacing w:after="0" w:line="240" w:lineRule="auto"/>
              <w:jc w:val="center"/>
              <w:rPr>
                <w:rFonts w:ascii="Arial" w:eastAsia="Times New Roman" w:hAnsi="Arial" w:cs="Arial"/>
                <w:b/>
                <w:bCs/>
                <w:color w:val="000000"/>
                <w:sz w:val="18"/>
                <w:szCs w:val="18"/>
                <w:lang w:eastAsia="es-CR"/>
              </w:rPr>
            </w:pPr>
            <w:r w:rsidRPr="00916ECF">
              <w:rPr>
                <w:rFonts w:ascii="Arial" w:eastAsia="Times New Roman" w:hAnsi="Arial" w:cs="Arial"/>
                <w:b/>
                <w:bCs/>
                <w:color w:val="000000"/>
                <w:sz w:val="18"/>
                <w:szCs w:val="18"/>
                <w:lang w:eastAsia="es-CR"/>
              </w:rPr>
              <w:t>I</w:t>
            </w:r>
          </w:p>
        </w:tc>
        <w:tc>
          <w:tcPr>
            <w:tcW w:w="364" w:type="pct"/>
            <w:tcBorders>
              <w:top w:val="nil"/>
              <w:left w:val="nil"/>
              <w:bottom w:val="single" w:sz="8" w:space="0" w:color="auto"/>
              <w:right w:val="single" w:sz="4" w:space="0" w:color="auto"/>
            </w:tcBorders>
            <w:shd w:val="clear" w:color="auto" w:fill="auto"/>
            <w:noWrap/>
            <w:vAlign w:val="bottom"/>
            <w:hideMark/>
          </w:tcPr>
          <w:p w:rsidR="00705458" w:rsidRPr="00916ECF" w:rsidRDefault="00705458" w:rsidP="00705458">
            <w:pPr>
              <w:spacing w:after="0" w:line="240" w:lineRule="auto"/>
              <w:jc w:val="center"/>
              <w:rPr>
                <w:rFonts w:ascii="Arial" w:eastAsia="Times New Roman" w:hAnsi="Arial" w:cs="Arial"/>
                <w:b/>
                <w:bCs/>
                <w:color w:val="000000"/>
                <w:sz w:val="18"/>
                <w:szCs w:val="18"/>
                <w:lang w:eastAsia="es-CR"/>
              </w:rPr>
            </w:pPr>
            <w:r w:rsidRPr="00916ECF">
              <w:rPr>
                <w:rFonts w:ascii="Arial" w:eastAsia="Times New Roman" w:hAnsi="Arial" w:cs="Arial"/>
                <w:b/>
                <w:bCs/>
                <w:color w:val="000000"/>
                <w:sz w:val="18"/>
                <w:szCs w:val="18"/>
                <w:lang w:eastAsia="es-CR"/>
              </w:rPr>
              <w:t>II</w:t>
            </w:r>
          </w:p>
        </w:tc>
        <w:tc>
          <w:tcPr>
            <w:tcW w:w="364" w:type="pct"/>
            <w:tcBorders>
              <w:top w:val="nil"/>
              <w:left w:val="nil"/>
              <w:bottom w:val="single" w:sz="8" w:space="0" w:color="auto"/>
              <w:right w:val="single" w:sz="4" w:space="0" w:color="auto"/>
            </w:tcBorders>
            <w:shd w:val="clear" w:color="auto" w:fill="auto"/>
            <w:noWrap/>
            <w:vAlign w:val="bottom"/>
            <w:hideMark/>
          </w:tcPr>
          <w:p w:rsidR="00705458" w:rsidRPr="00916ECF" w:rsidRDefault="00705458" w:rsidP="00705458">
            <w:pPr>
              <w:spacing w:after="0" w:line="240" w:lineRule="auto"/>
              <w:jc w:val="center"/>
              <w:rPr>
                <w:rFonts w:ascii="Arial" w:eastAsia="Times New Roman" w:hAnsi="Arial" w:cs="Arial"/>
                <w:b/>
                <w:bCs/>
                <w:color w:val="000000"/>
                <w:sz w:val="18"/>
                <w:szCs w:val="18"/>
                <w:lang w:eastAsia="es-CR"/>
              </w:rPr>
            </w:pPr>
            <w:r w:rsidRPr="00916ECF">
              <w:rPr>
                <w:rFonts w:ascii="Arial" w:eastAsia="Times New Roman" w:hAnsi="Arial" w:cs="Arial"/>
                <w:b/>
                <w:bCs/>
                <w:color w:val="000000"/>
                <w:sz w:val="18"/>
                <w:szCs w:val="18"/>
                <w:lang w:eastAsia="es-CR"/>
              </w:rPr>
              <w:t>III</w:t>
            </w:r>
          </w:p>
        </w:tc>
        <w:tc>
          <w:tcPr>
            <w:tcW w:w="366" w:type="pct"/>
            <w:tcBorders>
              <w:top w:val="nil"/>
              <w:left w:val="nil"/>
              <w:bottom w:val="single" w:sz="8" w:space="0" w:color="auto"/>
              <w:right w:val="single" w:sz="4" w:space="0" w:color="auto"/>
            </w:tcBorders>
            <w:shd w:val="clear" w:color="auto" w:fill="auto"/>
            <w:noWrap/>
            <w:vAlign w:val="bottom"/>
            <w:hideMark/>
          </w:tcPr>
          <w:p w:rsidR="00705458" w:rsidRPr="00916ECF" w:rsidRDefault="00705458" w:rsidP="00705458">
            <w:pPr>
              <w:spacing w:after="0" w:line="240" w:lineRule="auto"/>
              <w:jc w:val="center"/>
              <w:rPr>
                <w:rFonts w:ascii="Arial" w:eastAsia="Times New Roman" w:hAnsi="Arial" w:cs="Arial"/>
                <w:b/>
                <w:bCs/>
                <w:color w:val="000000"/>
                <w:sz w:val="18"/>
                <w:szCs w:val="18"/>
                <w:lang w:eastAsia="es-CR"/>
              </w:rPr>
            </w:pPr>
            <w:r w:rsidRPr="00916ECF">
              <w:rPr>
                <w:rFonts w:ascii="Arial" w:eastAsia="Times New Roman" w:hAnsi="Arial" w:cs="Arial"/>
                <w:b/>
                <w:bCs/>
                <w:color w:val="000000"/>
                <w:sz w:val="18"/>
                <w:szCs w:val="18"/>
                <w:lang w:eastAsia="es-CR"/>
              </w:rPr>
              <w:t>IV</w:t>
            </w:r>
          </w:p>
        </w:tc>
        <w:tc>
          <w:tcPr>
            <w:tcW w:w="364" w:type="pct"/>
            <w:vMerge/>
            <w:tcBorders>
              <w:top w:val="single" w:sz="8" w:space="0" w:color="auto"/>
              <w:left w:val="single" w:sz="4" w:space="0" w:color="auto"/>
              <w:bottom w:val="single" w:sz="8" w:space="0" w:color="000000"/>
              <w:right w:val="single" w:sz="4" w:space="0" w:color="auto"/>
            </w:tcBorders>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p>
        </w:tc>
        <w:tc>
          <w:tcPr>
            <w:tcW w:w="586" w:type="pct"/>
            <w:vMerge/>
            <w:tcBorders>
              <w:top w:val="single" w:sz="8" w:space="0" w:color="auto"/>
              <w:left w:val="single" w:sz="4" w:space="0" w:color="auto"/>
              <w:bottom w:val="single" w:sz="8" w:space="0" w:color="000000"/>
              <w:right w:val="single" w:sz="4" w:space="0" w:color="auto"/>
            </w:tcBorders>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p>
        </w:tc>
        <w:tc>
          <w:tcPr>
            <w:tcW w:w="469" w:type="pct"/>
            <w:vMerge/>
            <w:tcBorders>
              <w:top w:val="single" w:sz="8" w:space="0" w:color="auto"/>
              <w:left w:val="single" w:sz="4" w:space="0" w:color="auto"/>
              <w:bottom w:val="single" w:sz="8" w:space="0" w:color="000000"/>
              <w:right w:val="single" w:sz="8" w:space="0" w:color="auto"/>
            </w:tcBorders>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p>
        </w:tc>
      </w:tr>
      <w:tr w:rsidR="00705458" w:rsidRPr="00916ECF" w:rsidTr="00916ECF">
        <w:trPr>
          <w:trHeight w:val="393"/>
        </w:trPr>
        <w:tc>
          <w:tcPr>
            <w:tcW w:w="204" w:type="pct"/>
            <w:tcBorders>
              <w:top w:val="nil"/>
              <w:left w:val="single" w:sz="8" w:space="0" w:color="auto"/>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1</w:t>
            </w:r>
          </w:p>
        </w:tc>
        <w:tc>
          <w:tcPr>
            <w:tcW w:w="1918" w:type="pct"/>
            <w:tcBorders>
              <w:top w:val="nil"/>
              <w:left w:val="nil"/>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Planos Condominio Construido</w:t>
            </w:r>
          </w:p>
        </w:tc>
        <w:tc>
          <w:tcPr>
            <w:tcW w:w="364" w:type="pct"/>
            <w:tcBorders>
              <w:top w:val="nil"/>
              <w:left w:val="nil"/>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131</w:t>
            </w:r>
          </w:p>
        </w:tc>
        <w:tc>
          <w:tcPr>
            <w:tcW w:w="364" w:type="pct"/>
            <w:tcBorders>
              <w:top w:val="nil"/>
              <w:left w:val="nil"/>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103</w:t>
            </w:r>
          </w:p>
        </w:tc>
        <w:tc>
          <w:tcPr>
            <w:tcW w:w="364" w:type="pct"/>
            <w:tcBorders>
              <w:top w:val="nil"/>
              <w:left w:val="nil"/>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110</w:t>
            </w:r>
          </w:p>
        </w:tc>
        <w:tc>
          <w:tcPr>
            <w:tcW w:w="366" w:type="pct"/>
            <w:tcBorders>
              <w:top w:val="nil"/>
              <w:left w:val="nil"/>
              <w:bottom w:val="single" w:sz="4" w:space="0" w:color="auto"/>
              <w:right w:val="single" w:sz="4" w:space="0" w:color="auto"/>
            </w:tcBorders>
            <w:shd w:val="clear" w:color="auto" w:fill="auto"/>
            <w:noWrap/>
            <w:vAlign w:val="center"/>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88</w:t>
            </w:r>
          </w:p>
        </w:tc>
        <w:tc>
          <w:tcPr>
            <w:tcW w:w="364" w:type="pct"/>
            <w:tcBorders>
              <w:top w:val="nil"/>
              <w:left w:val="nil"/>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432</w:t>
            </w:r>
          </w:p>
        </w:tc>
        <w:tc>
          <w:tcPr>
            <w:tcW w:w="586" w:type="pct"/>
            <w:tcBorders>
              <w:top w:val="nil"/>
              <w:left w:val="nil"/>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174</w:t>
            </w:r>
          </w:p>
        </w:tc>
        <w:tc>
          <w:tcPr>
            <w:tcW w:w="469" w:type="pct"/>
            <w:tcBorders>
              <w:top w:val="nil"/>
              <w:left w:val="nil"/>
              <w:bottom w:val="single" w:sz="4" w:space="0" w:color="auto"/>
              <w:right w:val="single" w:sz="8"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40.3%</w:t>
            </w:r>
          </w:p>
        </w:tc>
      </w:tr>
      <w:tr w:rsidR="00705458" w:rsidRPr="00916ECF" w:rsidTr="00916ECF">
        <w:trPr>
          <w:trHeight w:val="393"/>
        </w:trPr>
        <w:tc>
          <w:tcPr>
            <w:tcW w:w="204" w:type="pct"/>
            <w:tcBorders>
              <w:top w:val="nil"/>
              <w:left w:val="single" w:sz="8" w:space="0" w:color="auto"/>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2</w:t>
            </w:r>
          </w:p>
        </w:tc>
        <w:tc>
          <w:tcPr>
            <w:tcW w:w="1918" w:type="pct"/>
            <w:tcBorders>
              <w:top w:val="nil"/>
              <w:left w:val="nil"/>
              <w:bottom w:val="single" w:sz="4" w:space="0" w:color="auto"/>
              <w:right w:val="single" w:sz="4" w:space="0" w:color="auto"/>
            </w:tcBorders>
            <w:shd w:val="clear" w:color="auto" w:fill="auto"/>
            <w:vAlign w:val="center"/>
            <w:hideMark/>
          </w:tcPr>
          <w:p w:rsidR="00705458" w:rsidRPr="00916ECF" w:rsidRDefault="00705458" w:rsidP="00705458">
            <w:pPr>
              <w:spacing w:after="0" w:line="240" w:lineRule="auto"/>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Modif. a Condominio construido</w:t>
            </w:r>
          </w:p>
        </w:tc>
        <w:tc>
          <w:tcPr>
            <w:tcW w:w="364" w:type="pct"/>
            <w:tcBorders>
              <w:top w:val="nil"/>
              <w:left w:val="nil"/>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42</w:t>
            </w:r>
          </w:p>
        </w:tc>
        <w:tc>
          <w:tcPr>
            <w:tcW w:w="364" w:type="pct"/>
            <w:tcBorders>
              <w:top w:val="nil"/>
              <w:left w:val="nil"/>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42</w:t>
            </w:r>
          </w:p>
        </w:tc>
        <w:tc>
          <w:tcPr>
            <w:tcW w:w="364" w:type="pct"/>
            <w:tcBorders>
              <w:top w:val="nil"/>
              <w:left w:val="nil"/>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29</w:t>
            </w:r>
          </w:p>
        </w:tc>
        <w:tc>
          <w:tcPr>
            <w:tcW w:w="366" w:type="pct"/>
            <w:tcBorders>
              <w:top w:val="nil"/>
              <w:left w:val="nil"/>
              <w:bottom w:val="single" w:sz="4" w:space="0" w:color="auto"/>
              <w:right w:val="single" w:sz="4" w:space="0" w:color="auto"/>
            </w:tcBorders>
            <w:shd w:val="clear" w:color="auto" w:fill="auto"/>
            <w:noWrap/>
            <w:vAlign w:val="center"/>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31</w:t>
            </w:r>
          </w:p>
        </w:tc>
        <w:tc>
          <w:tcPr>
            <w:tcW w:w="364" w:type="pct"/>
            <w:tcBorders>
              <w:top w:val="nil"/>
              <w:left w:val="nil"/>
              <w:bottom w:val="single" w:sz="4" w:space="0" w:color="auto"/>
              <w:right w:val="single" w:sz="4" w:space="0" w:color="auto"/>
            </w:tcBorders>
            <w:shd w:val="clear" w:color="auto" w:fill="auto"/>
            <w:noWrap/>
            <w:vAlign w:val="center"/>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144</w:t>
            </w:r>
          </w:p>
        </w:tc>
        <w:tc>
          <w:tcPr>
            <w:tcW w:w="586" w:type="pct"/>
            <w:tcBorders>
              <w:top w:val="nil"/>
              <w:left w:val="nil"/>
              <w:bottom w:val="single" w:sz="4" w:space="0" w:color="auto"/>
              <w:right w:val="single" w:sz="4" w:space="0" w:color="auto"/>
            </w:tcBorders>
            <w:shd w:val="clear" w:color="auto" w:fill="auto"/>
            <w:noWrap/>
            <w:vAlign w:val="center"/>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69</w:t>
            </w:r>
          </w:p>
        </w:tc>
        <w:tc>
          <w:tcPr>
            <w:tcW w:w="469" w:type="pct"/>
            <w:tcBorders>
              <w:top w:val="nil"/>
              <w:left w:val="nil"/>
              <w:bottom w:val="single" w:sz="4" w:space="0" w:color="auto"/>
              <w:right w:val="single" w:sz="8"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47.9%</w:t>
            </w:r>
          </w:p>
        </w:tc>
      </w:tr>
      <w:tr w:rsidR="00705458" w:rsidRPr="00916ECF" w:rsidTr="00916ECF">
        <w:trPr>
          <w:trHeight w:val="393"/>
        </w:trPr>
        <w:tc>
          <w:tcPr>
            <w:tcW w:w="204" w:type="pct"/>
            <w:tcBorders>
              <w:top w:val="nil"/>
              <w:left w:val="single" w:sz="8" w:space="0" w:color="auto"/>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3</w:t>
            </w:r>
          </w:p>
        </w:tc>
        <w:tc>
          <w:tcPr>
            <w:tcW w:w="1918" w:type="pct"/>
            <w:tcBorders>
              <w:top w:val="nil"/>
              <w:left w:val="nil"/>
              <w:bottom w:val="single" w:sz="4" w:space="0" w:color="auto"/>
              <w:right w:val="single" w:sz="4" w:space="0" w:color="auto"/>
            </w:tcBorders>
            <w:shd w:val="clear" w:color="auto" w:fill="auto"/>
            <w:vAlign w:val="center"/>
            <w:hideMark/>
          </w:tcPr>
          <w:p w:rsidR="00705458" w:rsidRPr="00916ECF" w:rsidRDefault="00705458" w:rsidP="00705458">
            <w:pPr>
              <w:spacing w:after="0" w:line="240" w:lineRule="auto"/>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Planos Condominio de Lotes ó Condominio FFPI</w:t>
            </w:r>
          </w:p>
        </w:tc>
        <w:tc>
          <w:tcPr>
            <w:tcW w:w="364" w:type="pct"/>
            <w:tcBorders>
              <w:top w:val="nil"/>
              <w:left w:val="nil"/>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39</w:t>
            </w:r>
          </w:p>
        </w:tc>
        <w:tc>
          <w:tcPr>
            <w:tcW w:w="364" w:type="pct"/>
            <w:tcBorders>
              <w:top w:val="nil"/>
              <w:left w:val="nil"/>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35</w:t>
            </w:r>
          </w:p>
        </w:tc>
        <w:tc>
          <w:tcPr>
            <w:tcW w:w="364" w:type="pct"/>
            <w:tcBorders>
              <w:top w:val="nil"/>
              <w:left w:val="nil"/>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42</w:t>
            </w:r>
          </w:p>
        </w:tc>
        <w:tc>
          <w:tcPr>
            <w:tcW w:w="366" w:type="pct"/>
            <w:tcBorders>
              <w:top w:val="nil"/>
              <w:left w:val="nil"/>
              <w:bottom w:val="single" w:sz="4" w:space="0" w:color="auto"/>
              <w:right w:val="single" w:sz="4" w:space="0" w:color="auto"/>
            </w:tcBorders>
            <w:shd w:val="clear" w:color="auto" w:fill="auto"/>
            <w:noWrap/>
            <w:vAlign w:val="center"/>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30</w:t>
            </w:r>
          </w:p>
        </w:tc>
        <w:tc>
          <w:tcPr>
            <w:tcW w:w="364" w:type="pct"/>
            <w:tcBorders>
              <w:top w:val="nil"/>
              <w:left w:val="nil"/>
              <w:bottom w:val="single" w:sz="4" w:space="0" w:color="auto"/>
              <w:right w:val="single" w:sz="4" w:space="0" w:color="auto"/>
            </w:tcBorders>
            <w:shd w:val="clear" w:color="auto" w:fill="auto"/>
            <w:noWrap/>
            <w:vAlign w:val="center"/>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146</w:t>
            </w:r>
          </w:p>
        </w:tc>
        <w:tc>
          <w:tcPr>
            <w:tcW w:w="586" w:type="pct"/>
            <w:tcBorders>
              <w:top w:val="nil"/>
              <w:left w:val="nil"/>
              <w:bottom w:val="single" w:sz="4" w:space="0" w:color="auto"/>
              <w:right w:val="single" w:sz="4" w:space="0" w:color="auto"/>
            </w:tcBorders>
            <w:shd w:val="clear" w:color="auto" w:fill="auto"/>
            <w:noWrap/>
            <w:vAlign w:val="center"/>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48</w:t>
            </w:r>
          </w:p>
        </w:tc>
        <w:tc>
          <w:tcPr>
            <w:tcW w:w="469" w:type="pct"/>
            <w:tcBorders>
              <w:top w:val="nil"/>
              <w:left w:val="nil"/>
              <w:bottom w:val="single" w:sz="4" w:space="0" w:color="auto"/>
              <w:right w:val="single" w:sz="8"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32.9%</w:t>
            </w:r>
          </w:p>
        </w:tc>
      </w:tr>
      <w:tr w:rsidR="00705458" w:rsidRPr="00916ECF" w:rsidTr="00916ECF">
        <w:trPr>
          <w:trHeight w:val="393"/>
        </w:trPr>
        <w:tc>
          <w:tcPr>
            <w:tcW w:w="204" w:type="pct"/>
            <w:tcBorders>
              <w:top w:val="nil"/>
              <w:left w:val="single" w:sz="8" w:space="0" w:color="auto"/>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4</w:t>
            </w:r>
          </w:p>
        </w:tc>
        <w:tc>
          <w:tcPr>
            <w:tcW w:w="1918" w:type="pct"/>
            <w:tcBorders>
              <w:top w:val="nil"/>
              <w:left w:val="nil"/>
              <w:bottom w:val="single" w:sz="4" w:space="0" w:color="auto"/>
              <w:right w:val="single" w:sz="4" w:space="0" w:color="auto"/>
            </w:tcBorders>
            <w:shd w:val="clear" w:color="auto" w:fill="auto"/>
            <w:vAlign w:val="center"/>
            <w:hideMark/>
          </w:tcPr>
          <w:p w:rsidR="00705458" w:rsidRPr="00916ECF" w:rsidRDefault="00705458" w:rsidP="00705458">
            <w:pPr>
              <w:spacing w:after="0" w:line="240" w:lineRule="auto"/>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Modific. Condominio de Lotes ó Modif. Condominio FFPI</w:t>
            </w:r>
          </w:p>
        </w:tc>
        <w:tc>
          <w:tcPr>
            <w:tcW w:w="364" w:type="pct"/>
            <w:tcBorders>
              <w:top w:val="nil"/>
              <w:left w:val="nil"/>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14</w:t>
            </w:r>
          </w:p>
        </w:tc>
        <w:tc>
          <w:tcPr>
            <w:tcW w:w="364" w:type="pct"/>
            <w:tcBorders>
              <w:top w:val="nil"/>
              <w:left w:val="nil"/>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15</w:t>
            </w:r>
          </w:p>
        </w:tc>
        <w:tc>
          <w:tcPr>
            <w:tcW w:w="364" w:type="pct"/>
            <w:tcBorders>
              <w:top w:val="nil"/>
              <w:left w:val="nil"/>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13</w:t>
            </w:r>
          </w:p>
        </w:tc>
        <w:tc>
          <w:tcPr>
            <w:tcW w:w="366" w:type="pct"/>
            <w:tcBorders>
              <w:top w:val="nil"/>
              <w:left w:val="nil"/>
              <w:bottom w:val="single" w:sz="4" w:space="0" w:color="auto"/>
              <w:right w:val="single" w:sz="4" w:space="0" w:color="auto"/>
            </w:tcBorders>
            <w:shd w:val="clear" w:color="auto" w:fill="auto"/>
            <w:noWrap/>
            <w:vAlign w:val="center"/>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9</w:t>
            </w:r>
          </w:p>
        </w:tc>
        <w:tc>
          <w:tcPr>
            <w:tcW w:w="364" w:type="pct"/>
            <w:tcBorders>
              <w:top w:val="nil"/>
              <w:left w:val="nil"/>
              <w:bottom w:val="single" w:sz="4" w:space="0" w:color="auto"/>
              <w:right w:val="single" w:sz="4" w:space="0" w:color="auto"/>
            </w:tcBorders>
            <w:shd w:val="clear" w:color="auto" w:fill="auto"/>
            <w:noWrap/>
            <w:vAlign w:val="center"/>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51</w:t>
            </w:r>
          </w:p>
        </w:tc>
        <w:tc>
          <w:tcPr>
            <w:tcW w:w="586" w:type="pct"/>
            <w:tcBorders>
              <w:top w:val="nil"/>
              <w:left w:val="nil"/>
              <w:bottom w:val="single" w:sz="4" w:space="0" w:color="auto"/>
              <w:right w:val="single" w:sz="4" w:space="0" w:color="auto"/>
            </w:tcBorders>
            <w:shd w:val="clear" w:color="auto" w:fill="auto"/>
            <w:noWrap/>
            <w:vAlign w:val="center"/>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25</w:t>
            </w:r>
          </w:p>
        </w:tc>
        <w:tc>
          <w:tcPr>
            <w:tcW w:w="469" w:type="pct"/>
            <w:tcBorders>
              <w:top w:val="nil"/>
              <w:left w:val="nil"/>
              <w:bottom w:val="single" w:sz="4" w:space="0" w:color="auto"/>
              <w:right w:val="single" w:sz="8"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49.0%</w:t>
            </w:r>
          </w:p>
        </w:tc>
      </w:tr>
      <w:tr w:rsidR="00705458" w:rsidRPr="00916ECF" w:rsidTr="00916ECF">
        <w:trPr>
          <w:trHeight w:val="393"/>
        </w:trPr>
        <w:tc>
          <w:tcPr>
            <w:tcW w:w="204" w:type="pct"/>
            <w:tcBorders>
              <w:top w:val="nil"/>
              <w:left w:val="single" w:sz="8" w:space="0" w:color="auto"/>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5</w:t>
            </w:r>
          </w:p>
        </w:tc>
        <w:tc>
          <w:tcPr>
            <w:tcW w:w="1918" w:type="pct"/>
            <w:tcBorders>
              <w:top w:val="nil"/>
              <w:left w:val="nil"/>
              <w:bottom w:val="single" w:sz="4" w:space="0" w:color="auto"/>
              <w:right w:val="single" w:sz="4" w:space="0" w:color="auto"/>
            </w:tcBorders>
            <w:shd w:val="clear" w:color="auto" w:fill="auto"/>
            <w:vAlign w:val="center"/>
            <w:hideMark/>
          </w:tcPr>
          <w:p w:rsidR="00705458" w:rsidRPr="00916ECF" w:rsidRDefault="00705458" w:rsidP="00705458">
            <w:pPr>
              <w:spacing w:after="0" w:line="240" w:lineRule="auto"/>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Planos de Urbanización ó Conjunto Residencial</w:t>
            </w:r>
          </w:p>
        </w:tc>
        <w:tc>
          <w:tcPr>
            <w:tcW w:w="364" w:type="pct"/>
            <w:tcBorders>
              <w:top w:val="nil"/>
              <w:left w:val="nil"/>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18</w:t>
            </w:r>
          </w:p>
        </w:tc>
        <w:tc>
          <w:tcPr>
            <w:tcW w:w="364" w:type="pct"/>
            <w:tcBorders>
              <w:top w:val="nil"/>
              <w:left w:val="nil"/>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12</w:t>
            </w:r>
          </w:p>
        </w:tc>
        <w:tc>
          <w:tcPr>
            <w:tcW w:w="364" w:type="pct"/>
            <w:tcBorders>
              <w:top w:val="nil"/>
              <w:left w:val="nil"/>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6</w:t>
            </w:r>
          </w:p>
        </w:tc>
        <w:tc>
          <w:tcPr>
            <w:tcW w:w="366" w:type="pct"/>
            <w:tcBorders>
              <w:top w:val="nil"/>
              <w:left w:val="nil"/>
              <w:bottom w:val="single" w:sz="4" w:space="0" w:color="auto"/>
              <w:right w:val="single" w:sz="4" w:space="0" w:color="auto"/>
            </w:tcBorders>
            <w:shd w:val="clear" w:color="auto" w:fill="auto"/>
            <w:noWrap/>
            <w:vAlign w:val="center"/>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9</w:t>
            </w:r>
          </w:p>
        </w:tc>
        <w:tc>
          <w:tcPr>
            <w:tcW w:w="364" w:type="pct"/>
            <w:tcBorders>
              <w:top w:val="nil"/>
              <w:left w:val="nil"/>
              <w:bottom w:val="single" w:sz="4" w:space="0" w:color="auto"/>
              <w:right w:val="single" w:sz="4" w:space="0" w:color="auto"/>
            </w:tcBorders>
            <w:shd w:val="clear" w:color="auto" w:fill="auto"/>
            <w:noWrap/>
            <w:vAlign w:val="center"/>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45</w:t>
            </w:r>
          </w:p>
        </w:tc>
        <w:tc>
          <w:tcPr>
            <w:tcW w:w="586" w:type="pct"/>
            <w:tcBorders>
              <w:top w:val="nil"/>
              <w:left w:val="nil"/>
              <w:bottom w:val="single" w:sz="4" w:space="0" w:color="auto"/>
              <w:right w:val="single" w:sz="4" w:space="0" w:color="auto"/>
            </w:tcBorders>
            <w:shd w:val="clear" w:color="auto" w:fill="auto"/>
            <w:noWrap/>
            <w:vAlign w:val="center"/>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8</w:t>
            </w:r>
          </w:p>
        </w:tc>
        <w:tc>
          <w:tcPr>
            <w:tcW w:w="469" w:type="pct"/>
            <w:tcBorders>
              <w:top w:val="nil"/>
              <w:left w:val="nil"/>
              <w:bottom w:val="single" w:sz="4" w:space="0" w:color="auto"/>
              <w:right w:val="single" w:sz="8"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17.8%</w:t>
            </w:r>
          </w:p>
        </w:tc>
      </w:tr>
      <w:tr w:rsidR="00705458" w:rsidRPr="00916ECF" w:rsidTr="00916ECF">
        <w:trPr>
          <w:trHeight w:val="393"/>
        </w:trPr>
        <w:tc>
          <w:tcPr>
            <w:tcW w:w="204" w:type="pct"/>
            <w:tcBorders>
              <w:top w:val="nil"/>
              <w:left w:val="single" w:sz="8" w:space="0" w:color="auto"/>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6</w:t>
            </w:r>
          </w:p>
        </w:tc>
        <w:tc>
          <w:tcPr>
            <w:tcW w:w="1918" w:type="pct"/>
            <w:tcBorders>
              <w:top w:val="nil"/>
              <w:left w:val="nil"/>
              <w:bottom w:val="single" w:sz="4" w:space="0" w:color="auto"/>
              <w:right w:val="single" w:sz="4" w:space="0" w:color="auto"/>
            </w:tcBorders>
            <w:shd w:val="clear" w:color="auto" w:fill="auto"/>
            <w:vAlign w:val="center"/>
            <w:hideMark/>
          </w:tcPr>
          <w:p w:rsidR="00705458" w:rsidRPr="00916ECF" w:rsidRDefault="00705458" w:rsidP="00705458">
            <w:pPr>
              <w:spacing w:after="0" w:line="240" w:lineRule="auto"/>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Modif. a Urbanización ó Modif. A Conj. Residencial</w:t>
            </w:r>
          </w:p>
        </w:tc>
        <w:tc>
          <w:tcPr>
            <w:tcW w:w="364" w:type="pct"/>
            <w:tcBorders>
              <w:top w:val="nil"/>
              <w:left w:val="nil"/>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2</w:t>
            </w:r>
          </w:p>
        </w:tc>
        <w:tc>
          <w:tcPr>
            <w:tcW w:w="364" w:type="pct"/>
            <w:tcBorders>
              <w:top w:val="nil"/>
              <w:left w:val="nil"/>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6</w:t>
            </w:r>
          </w:p>
        </w:tc>
        <w:tc>
          <w:tcPr>
            <w:tcW w:w="364" w:type="pct"/>
            <w:tcBorders>
              <w:top w:val="nil"/>
              <w:left w:val="nil"/>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7</w:t>
            </w:r>
          </w:p>
        </w:tc>
        <w:tc>
          <w:tcPr>
            <w:tcW w:w="366" w:type="pct"/>
            <w:tcBorders>
              <w:top w:val="nil"/>
              <w:left w:val="nil"/>
              <w:bottom w:val="single" w:sz="4" w:space="0" w:color="auto"/>
              <w:right w:val="single" w:sz="4" w:space="0" w:color="auto"/>
            </w:tcBorders>
            <w:shd w:val="clear" w:color="auto" w:fill="auto"/>
            <w:noWrap/>
            <w:vAlign w:val="center"/>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2</w:t>
            </w:r>
          </w:p>
        </w:tc>
        <w:tc>
          <w:tcPr>
            <w:tcW w:w="364" w:type="pct"/>
            <w:tcBorders>
              <w:top w:val="nil"/>
              <w:left w:val="nil"/>
              <w:bottom w:val="single" w:sz="4" w:space="0" w:color="auto"/>
              <w:right w:val="single" w:sz="4" w:space="0" w:color="auto"/>
            </w:tcBorders>
            <w:shd w:val="clear" w:color="auto" w:fill="auto"/>
            <w:noWrap/>
            <w:vAlign w:val="center"/>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17</w:t>
            </w:r>
          </w:p>
        </w:tc>
        <w:tc>
          <w:tcPr>
            <w:tcW w:w="586" w:type="pct"/>
            <w:tcBorders>
              <w:top w:val="nil"/>
              <w:left w:val="nil"/>
              <w:bottom w:val="single" w:sz="4" w:space="0" w:color="auto"/>
              <w:right w:val="single" w:sz="4" w:space="0" w:color="auto"/>
            </w:tcBorders>
            <w:shd w:val="clear" w:color="auto" w:fill="auto"/>
            <w:noWrap/>
            <w:vAlign w:val="center"/>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3</w:t>
            </w:r>
          </w:p>
        </w:tc>
        <w:tc>
          <w:tcPr>
            <w:tcW w:w="469" w:type="pct"/>
            <w:tcBorders>
              <w:top w:val="nil"/>
              <w:left w:val="nil"/>
              <w:bottom w:val="single" w:sz="4" w:space="0" w:color="auto"/>
              <w:right w:val="single" w:sz="8"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17.6%</w:t>
            </w:r>
          </w:p>
        </w:tc>
      </w:tr>
      <w:tr w:rsidR="00705458" w:rsidRPr="00916ECF" w:rsidTr="00916ECF">
        <w:trPr>
          <w:trHeight w:val="393"/>
        </w:trPr>
        <w:tc>
          <w:tcPr>
            <w:tcW w:w="204" w:type="pct"/>
            <w:tcBorders>
              <w:top w:val="nil"/>
              <w:left w:val="single" w:sz="8" w:space="0" w:color="auto"/>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7</w:t>
            </w:r>
          </w:p>
        </w:tc>
        <w:tc>
          <w:tcPr>
            <w:tcW w:w="1918" w:type="pct"/>
            <w:tcBorders>
              <w:top w:val="nil"/>
              <w:left w:val="nil"/>
              <w:bottom w:val="single" w:sz="4" w:space="0" w:color="auto"/>
              <w:right w:val="single" w:sz="4" w:space="0" w:color="auto"/>
            </w:tcBorders>
            <w:shd w:val="clear" w:color="auto" w:fill="auto"/>
            <w:vAlign w:val="center"/>
            <w:hideMark/>
          </w:tcPr>
          <w:p w:rsidR="00705458" w:rsidRPr="00916ECF" w:rsidRDefault="00705458" w:rsidP="00705458">
            <w:pPr>
              <w:spacing w:after="0" w:line="240" w:lineRule="auto"/>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Anteproy. Condominio construido</w:t>
            </w:r>
          </w:p>
        </w:tc>
        <w:tc>
          <w:tcPr>
            <w:tcW w:w="364" w:type="pct"/>
            <w:tcBorders>
              <w:top w:val="nil"/>
              <w:left w:val="nil"/>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12</w:t>
            </w:r>
          </w:p>
        </w:tc>
        <w:tc>
          <w:tcPr>
            <w:tcW w:w="364" w:type="pct"/>
            <w:tcBorders>
              <w:top w:val="nil"/>
              <w:left w:val="nil"/>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8</w:t>
            </w:r>
          </w:p>
        </w:tc>
        <w:tc>
          <w:tcPr>
            <w:tcW w:w="364" w:type="pct"/>
            <w:tcBorders>
              <w:top w:val="nil"/>
              <w:left w:val="nil"/>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10</w:t>
            </w:r>
          </w:p>
        </w:tc>
        <w:tc>
          <w:tcPr>
            <w:tcW w:w="366" w:type="pct"/>
            <w:tcBorders>
              <w:top w:val="nil"/>
              <w:left w:val="nil"/>
              <w:bottom w:val="single" w:sz="4" w:space="0" w:color="auto"/>
              <w:right w:val="single" w:sz="4" w:space="0" w:color="auto"/>
            </w:tcBorders>
            <w:shd w:val="clear" w:color="auto" w:fill="auto"/>
            <w:noWrap/>
            <w:vAlign w:val="center"/>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7</w:t>
            </w:r>
          </w:p>
        </w:tc>
        <w:tc>
          <w:tcPr>
            <w:tcW w:w="364" w:type="pct"/>
            <w:tcBorders>
              <w:top w:val="nil"/>
              <w:left w:val="nil"/>
              <w:bottom w:val="single" w:sz="4" w:space="0" w:color="auto"/>
              <w:right w:val="single" w:sz="4" w:space="0" w:color="auto"/>
            </w:tcBorders>
            <w:shd w:val="clear" w:color="auto" w:fill="auto"/>
            <w:noWrap/>
            <w:vAlign w:val="center"/>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37</w:t>
            </w:r>
          </w:p>
        </w:tc>
        <w:tc>
          <w:tcPr>
            <w:tcW w:w="586" w:type="pct"/>
            <w:tcBorders>
              <w:top w:val="nil"/>
              <w:left w:val="nil"/>
              <w:bottom w:val="single" w:sz="4" w:space="0" w:color="auto"/>
              <w:right w:val="single" w:sz="4" w:space="0" w:color="auto"/>
            </w:tcBorders>
            <w:shd w:val="clear" w:color="auto" w:fill="auto"/>
            <w:noWrap/>
            <w:vAlign w:val="center"/>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11</w:t>
            </w:r>
          </w:p>
        </w:tc>
        <w:tc>
          <w:tcPr>
            <w:tcW w:w="469" w:type="pct"/>
            <w:tcBorders>
              <w:top w:val="nil"/>
              <w:left w:val="nil"/>
              <w:bottom w:val="single" w:sz="4" w:space="0" w:color="auto"/>
              <w:right w:val="single" w:sz="8"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29.7%</w:t>
            </w:r>
          </w:p>
        </w:tc>
      </w:tr>
      <w:tr w:rsidR="00705458" w:rsidRPr="00916ECF" w:rsidTr="00916ECF">
        <w:trPr>
          <w:trHeight w:val="393"/>
        </w:trPr>
        <w:tc>
          <w:tcPr>
            <w:tcW w:w="204" w:type="pct"/>
            <w:tcBorders>
              <w:top w:val="nil"/>
              <w:left w:val="single" w:sz="8" w:space="0" w:color="auto"/>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8</w:t>
            </w:r>
          </w:p>
        </w:tc>
        <w:tc>
          <w:tcPr>
            <w:tcW w:w="1918" w:type="pct"/>
            <w:tcBorders>
              <w:top w:val="nil"/>
              <w:left w:val="nil"/>
              <w:bottom w:val="single" w:sz="4" w:space="0" w:color="auto"/>
              <w:right w:val="single" w:sz="4" w:space="0" w:color="auto"/>
            </w:tcBorders>
            <w:shd w:val="clear" w:color="auto" w:fill="auto"/>
            <w:vAlign w:val="center"/>
            <w:hideMark/>
          </w:tcPr>
          <w:p w:rsidR="00705458" w:rsidRPr="00916ECF" w:rsidRDefault="00705458" w:rsidP="00705458">
            <w:pPr>
              <w:spacing w:after="0" w:line="240" w:lineRule="auto"/>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Anteproy. Condominio FFPI</w:t>
            </w:r>
          </w:p>
        </w:tc>
        <w:tc>
          <w:tcPr>
            <w:tcW w:w="364" w:type="pct"/>
            <w:tcBorders>
              <w:top w:val="nil"/>
              <w:left w:val="nil"/>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3</w:t>
            </w:r>
          </w:p>
        </w:tc>
        <w:tc>
          <w:tcPr>
            <w:tcW w:w="364" w:type="pct"/>
            <w:tcBorders>
              <w:top w:val="nil"/>
              <w:left w:val="nil"/>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5</w:t>
            </w:r>
          </w:p>
        </w:tc>
        <w:tc>
          <w:tcPr>
            <w:tcW w:w="364" w:type="pct"/>
            <w:tcBorders>
              <w:top w:val="nil"/>
              <w:left w:val="nil"/>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3</w:t>
            </w:r>
          </w:p>
        </w:tc>
        <w:tc>
          <w:tcPr>
            <w:tcW w:w="366" w:type="pct"/>
            <w:tcBorders>
              <w:top w:val="nil"/>
              <w:left w:val="nil"/>
              <w:bottom w:val="single" w:sz="4" w:space="0" w:color="auto"/>
              <w:right w:val="single" w:sz="4" w:space="0" w:color="auto"/>
            </w:tcBorders>
            <w:shd w:val="clear" w:color="auto" w:fill="auto"/>
            <w:noWrap/>
            <w:vAlign w:val="center"/>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4</w:t>
            </w:r>
          </w:p>
        </w:tc>
        <w:tc>
          <w:tcPr>
            <w:tcW w:w="364" w:type="pct"/>
            <w:tcBorders>
              <w:top w:val="nil"/>
              <w:left w:val="nil"/>
              <w:bottom w:val="single" w:sz="4" w:space="0" w:color="auto"/>
              <w:right w:val="single" w:sz="4" w:space="0" w:color="auto"/>
            </w:tcBorders>
            <w:shd w:val="clear" w:color="auto" w:fill="auto"/>
            <w:noWrap/>
            <w:vAlign w:val="center"/>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15</w:t>
            </w:r>
          </w:p>
        </w:tc>
        <w:tc>
          <w:tcPr>
            <w:tcW w:w="586" w:type="pct"/>
            <w:tcBorders>
              <w:top w:val="nil"/>
              <w:left w:val="nil"/>
              <w:bottom w:val="single" w:sz="4" w:space="0" w:color="auto"/>
              <w:right w:val="single" w:sz="4" w:space="0" w:color="auto"/>
            </w:tcBorders>
            <w:shd w:val="clear" w:color="auto" w:fill="auto"/>
            <w:noWrap/>
            <w:vAlign w:val="center"/>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2</w:t>
            </w:r>
          </w:p>
        </w:tc>
        <w:tc>
          <w:tcPr>
            <w:tcW w:w="469" w:type="pct"/>
            <w:tcBorders>
              <w:top w:val="nil"/>
              <w:left w:val="nil"/>
              <w:bottom w:val="single" w:sz="4" w:space="0" w:color="auto"/>
              <w:right w:val="single" w:sz="8"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13.3%</w:t>
            </w:r>
          </w:p>
        </w:tc>
      </w:tr>
      <w:tr w:rsidR="00705458" w:rsidRPr="00916ECF" w:rsidTr="00916ECF">
        <w:trPr>
          <w:trHeight w:val="393"/>
        </w:trPr>
        <w:tc>
          <w:tcPr>
            <w:tcW w:w="204" w:type="pct"/>
            <w:tcBorders>
              <w:top w:val="nil"/>
              <w:left w:val="single" w:sz="8" w:space="0" w:color="auto"/>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9</w:t>
            </w:r>
          </w:p>
        </w:tc>
        <w:tc>
          <w:tcPr>
            <w:tcW w:w="1918" w:type="pct"/>
            <w:tcBorders>
              <w:top w:val="nil"/>
              <w:left w:val="nil"/>
              <w:bottom w:val="single" w:sz="4" w:space="0" w:color="auto"/>
              <w:right w:val="single" w:sz="4" w:space="0" w:color="auto"/>
            </w:tcBorders>
            <w:shd w:val="clear" w:color="auto" w:fill="auto"/>
            <w:vAlign w:val="center"/>
            <w:hideMark/>
          </w:tcPr>
          <w:p w:rsidR="00705458" w:rsidRPr="00916ECF" w:rsidRDefault="00705458" w:rsidP="00705458">
            <w:pPr>
              <w:spacing w:after="0" w:line="240" w:lineRule="auto"/>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Transformación a Condominio</w:t>
            </w:r>
          </w:p>
        </w:tc>
        <w:tc>
          <w:tcPr>
            <w:tcW w:w="364" w:type="pct"/>
            <w:tcBorders>
              <w:top w:val="nil"/>
              <w:left w:val="nil"/>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21</w:t>
            </w:r>
          </w:p>
        </w:tc>
        <w:tc>
          <w:tcPr>
            <w:tcW w:w="364" w:type="pct"/>
            <w:tcBorders>
              <w:top w:val="nil"/>
              <w:left w:val="nil"/>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19</w:t>
            </w:r>
          </w:p>
        </w:tc>
        <w:tc>
          <w:tcPr>
            <w:tcW w:w="364" w:type="pct"/>
            <w:tcBorders>
              <w:top w:val="nil"/>
              <w:left w:val="nil"/>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37</w:t>
            </w:r>
          </w:p>
        </w:tc>
        <w:tc>
          <w:tcPr>
            <w:tcW w:w="366" w:type="pct"/>
            <w:tcBorders>
              <w:top w:val="nil"/>
              <w:left w:val="nil"/>
              <w:bottom w:val="single" w:sz="4" w:space="0" w:color="auto"/>
              <w:right w:val="single" w:sz="4" w:space="0" w:color="auto"/>
            </w:tcBorders>
            <w:shd w:val="clear" w:color="auto" w:fill="auto"/>
            <w:noWrap/>
            <w:vAlign w:val="center"/>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15</w:t>
            </w:r>
          </w:p>
        </w:tc>
        <w:tc>
          <w:tcPr>
            <w:tcW w:w="364" w:type="pct"/>
            <w:tcBorders>
              <w:top w:val="nil"/>
              <w:left w:val="nil"/>
              <w:bottom w:val="single" w:sz="4" w:space="0" w:color="auto"/>
              <w:right w:val="single" w:sz="4" w:space="0" w:color="auto"/>
            </w:tcBorders>
            <w:shd w:val="clear" w:color="auto" w:fill="auto"/>
            <w:noWrap/>
            <w:vAlign w:val="center"/>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92</w:t>
            </w:r>
          </w:p>
        </w:tc>
        <w:tc>
          <w:tcPr>
            <w:tcW w:w="586" w:type="pct"/>
            <w:tcBorders>
              <w:top w:val="nil"/>
              <w:left w:val="nil"/>
              <w:bottom w:val="single" w:sz="4" w:space="0" w:color="auto"/>
              <w:right w:val="single" w:sz="4" w:space="0" w:color="auto"/>
            </w:tcBorders>
            <w:shd w:val="clear" w:color="auto" w:fill="auto"/>
            <w:noWrap/>
            <w:vAlign w:val="center"/>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39</w:t>
            </w:r>
          </w:p>
        </w:tc>
        <w:tc>
          <w:tcPr>
            <w:tcW w:w="469" w:type="pct"/>
            <w:tcBorders>
              <w:top w:val="nil"/>
              <w:left w:val="nil"/>
              <w:bottom w:val="single" w:sz="4" w:space="0" w:color="auto"/>
              <w:right w:val="single" w:sz="8"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42.4%</w:t>
            </w:r>
          </w:p>
        </w:tc>
      </w:tr>
      <w:tr w:rsidR="00705458" w:rsidRPr="00916ECF" w:rsidTr="00916ECF">
        <w:trPr>
          <w:trHeight w:val="393"/>
        </w:trPr>
        <w:tc>
          <w:tcPr>
            <w:tcW w:w="204" w:type="pct"/>
            <w:tcBorders>
              <w:top w:val="nil"/>
              <w:left w:val="single" w:sz="8" w:space="0" w:color="auto"/>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10</w:t>
            </w:r>
          </w:p>
        </w:tc>
        <w:tc>
          <w:tcPr>
            <w:tcW w:w="1918" w:type="pct"/>
            <w:tcBorders>
              <w:top w:val="nil"/>
              <w:left w:val="nil"/>
              <w:bottom w:val="single" w:sz="4" w:space="0" w:color="auto"/>
              <w:right w:val="single" w:sz="4" w:space="0" w:color="auto"/>
            </w:tcBorders>
            <w:shd w:val="clear" w:color="auto" w:fill="auto"/>
            <w:vAlign w:val="center"/>
            <w:hideMark/>
          </w:tcPr>
          <w:p w:rsidR="00705458" w:rsidRPr="00916ECF" w:rsidRDefault="00705458" w:rsidP="00705458">
            <w:pPr>
              <w:spacing w:after="0" w:line="240" w:lineRule="auto"/>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Zona Marítimo Terrestre (ZMT)</w:t>
            </w:r>
          </w:p>
        </w:tc>
        <w:tc>
          <w:tcPr>
            <w:tcW w:w="364" w:type="pct"/>
            <w:tcBorders>
              <w:top w:val="nil"/>
              <w:left w:val="nil"/>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8</w:t>
            </w:r>
          </w:p>
        </w:tc>
        <w:tc>
          <w:tcPr>
            <w:tcW w:w="364" w:type="pct"/>
            <w:tcBorders>
              <w:top w:val="nil"/>
              <w:left w:val="nil"/>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11</w:t>
            </w:r>
          </w:p>
        </w:tc>
        <w:tc>
          <w:tcPr>
            <w:tcW w:w="364" w:type="pct"/>
            <w:tcBorders>
              <w:top w:val="nil"/>
              <w:left w:val="nil"/>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4</w:t>
            </w:r>
          </w:p>
        </w:tc>
        <w:tc>
          <w:tcPr>
            <w:tcW w:w="366" w:type="pct"/>
            <w:tcBorders>
              <w:top w:val="nil"/>
              <w:left w:val="nil"/>
              <w:bottom w:val="single" w:sz="4" w:space="0" w:color="auto"/>
              <w:right w:val="single" w:sz="4" w:space="0" w:color="auto"/>
            </w:tcBorders>
            <w:shd w:val="clear" w:color="auto" w:fill="auto"/>
            <w:noWrap/>
            <w:vAlign w:val="center"/>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1</w:t>
            </w:r>
          </w:p>
        </w:tc>
        <w:tc>
          <w:tcPr>
            <w:tcW w:w="364" w:type="pct"/>
            <w:tcBorders>
              <w:top w:val="nil"/>
              <w:left w:val="nil"/>
              <w:bottom w:val="single" w:sz="4" w:space="0" w:color="auto"/>
              <w:right w:val="single" w:sz="4" w:space="0" w:color="auto"/>
            </w:tcBorders>
            <w:shd w:val="clear" w:color="auto" w:fill="auto"/>
            <w:noWrap/>
            <w:vAlign w:val="center"/>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24</w:t>
            </w:r>
          </w:p>
        </w:tc>
        <w:tc>
          <w:tcPr>
            <w:tcW w:w="586" w:type="pct"/>
            <w:tcBorders>
              <w:top w:val="nil"/>
              <w:left w:val="nil"/>
              <w:bottom w:val="single" w:sz="4" w:space="0" w:color="auto"/>
              <w:right w:val="single" w:sz="4" w:space="0" w:color="auto"/>
            </w:tcBorders>
            <w:shd w:val="clear" w:color="auto" w:fill="auto"/>
            <w:noWrap/>
            <w:vAlign w:val="center"/>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10</w:t>
            </w:r>
          </w:p>
        </w:tc>
        <w:tc>
          <w:tcPr>
            <w:tcW w:w="469" w:type="pct"/>
            <w:tcBorders>
              <w:top w:val="nil"/>
              <w:left w:val="nil"/>
              <w:bottom w:val="single" w:sz="4" w:space="0" w:color="auto"/>
              <w:right w:val="single" w:sz="8"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41.7%</w:t>
            </w:r>
          </w:p>
        </w:tc>
      </w:tr>
      <w:tr w:rsidR="00705458" w:rsidRPr="00916ECF" w:rsidTr="00916ECF">
        <w:trPr>
          <w:trHeight w:val="393"/>
        </w:trPr>
        <w:tc>
          <w:tcPr>
            <w:tcW w:w="204" w:type="pct"/>
            <w:tcBorders>
              <w:top w:val="nil"/>
              <w:left w:val="single" w:sz="8" w:space="0" w:color="auto"/>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11</w:t>
            </w:r>
          </w:p>
        </w:tc>
        <w:tc>
          <w:tcPr>
            <w:tcW w:w="1918" w:type="pct"/>
            <w:tcBorders>
              <w:top w:val="nil"/>
              <w:left w:val="nil"/>
              <w:bottom w:val="single" w:sz="4" w:space="0" w:color="auto"/>
              <w:right w:val="single" w:sz="4" w:space="0" w:color="auto"/>
            </w:tcBorders>
            <w:shd w:val="clear" w:color="auto" w:fill="auto"/>
            <w:vAlign w:val="center"/>
            <w:hideMark/>
          </w:tcPr>
          <w:p w:rsidR="00705458" w:rsidRPr="00916ECF" w:rsidRDefault="00705458" w:rsidP="00705458">
            <w:pPr>
              <w:spacing w:after="0" w:line="240" w:lineRule="auto"/>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Modif. Anteproyecto</w:t>
            </w:r>
          </w:p>
        </w:tc>
        <w:tc>
          <w:tcPr>
            <w:tcW w:w="364" w:type="pct"/>
            <w:tcBorders>
              <w:top w:val="nil"/>
              <w:left w:val="nil"/>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0</w:t>
            </w:r>
          </w:p>
        </w:tc>
        <w:tc>
          <w:tcPr>
            <w:tcW w:w="364" w:type="pct"/>
            <w:tcBorders>
              <w:top w:val="nil"/>
              <w:left w:val="nil"/>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0</w:t>
            </w:r>
          </w:p>
        </w:tc>
        <w:tc>
          <w:tcPr>
            <w:tcW w:w="364" w:type="pct"/>
            <w:tcBorders>
              <w:top w:val="nil"/>
              <w:left w:val="nil"/>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1</w:t>
            </w:r>
          </w:p>
        </w:tc>
        <w:tc>
          <w:tcPr>
            <w:tcW w:w="366" w:type="pct"/>
            <w:tcBorders>
              <w:top w:val="nil"/>
              <w:left w:val="nil"/>
              <w:bottom w:val="single" w:sz="4" w:space="0" w:color="auto"/>
              <w:right w:val="single" w:sz="4" w:space="0" w:color="auto"/>
            </w:tcBorders>
            <w:shd w:val="clear" w:color="auto" w:fill="auto"/>
            <w:noWrap/>
            <w:vAlign w:val="center"/>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0</w:t>
            </w:r>
          </w:p>
        </w:tc>
        <w:tc>
          <w:tcPr>
            <w:tcW w:w="364" w:type="pct"/>
            <w:tcBorders>
              <w:top w:val="nil"/>
              <w:left w:val="nil"/>
              <w:bottom w:val="single" w:sz="4" w:space="0" w:color="auto"/>
              <w:right w:val="single" w:sz="4" w:space="0" w:color="auto"/>
            </w:tcBorders>
            <w:shd w:val="clear" w:color="auto" w:fill="auto"/>
            <w:noWrap/>
            <w:vAlign w:val="center"/>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1</w:t>
            </w:r>
          </w:p>
        </w:tc>
        <w:tc>
          <w:tcPr>
            <w:tcW w:w="586" w:type="pct"/>
            <w:tcBorders>
              <w:top w:val="nil"/>
              <w:left w:val="nil"/>
              <w:bottom w:val="single" w:sz="4" w:space="0" w:color="auto"/>
              <w:right w:val="single" w:sz="4" w:space="0" w:color="auto"/>
            </w:tcBorders>
            <w:shd w:val="clear" w:color="auto" w:fill="auto"/>
            <w:noWrap/>
            <w:vAlign w:val="center"/>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1</w:t>
            </w:r>
          </w:p>
        </w:tc>
        <w:tc>
          <w:tcPr>
            <w:tcW w:w="469" w:type="pct"/>
            <w:tcBorders>
              <w:top w:val="nil"/>
              <w:left w:val="nil"/>
              <w:bottom w:val="single" w:sz="4" w:space="0" w:color="auto"/>
              <w:right w:val="single" w:sz="8"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100%</w:t>
            </w:r>
          </w:p>
        </w:tc>
      </w:tr>
      <w:tr w:rsidR="00705458" w:rsidRPr="00916ECF" w:rsidTr="00916ECF">
        <w:trPr>
          <w:trHeight w:val="393"/>
        </w:trPr>
        <w:tc>
          <w:tcPr>
            <w:tcW w:w="204" w:type="pct"/>
            <w:tcBorders>
              <w:top w:val="nil"/>
              <w:left w:val="single" w:sz="8" w:space="0" w:color="auto"/>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12</w:t>
            </w:r>
          </w:p>
        </w:tc>
        <w:tc>
          <w:tcPr>
            <w:tcW w:w="1918" w:type="pct"/>
            <w:tcBorders>
              <w:top w:val="nil"/>
              <w:left w:val="nil"/>
              <w:bottom w:val="single" w:sz="4" w:space="0" w:color="auto"/>
              <w:right w:val="single" w:sz="4" w:space="0" w:color="auto"/>
            </w:tcBorders>
            <w:shd w:val="clear" w:color="auto" w:fill="auto"/>
            <w:vAlign w:val="center"/>
            <w:hideMark/>
          </w:tcPr>
          <w:p w:rsidR="00705458" w:rsidRPr="00916ECF" w:rsidRDefault="00705458" w:rsidP="00705458">
            <w:pPr>
              <w:spacing w:after="0" w:line="240" w:lineRule="auto"/>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No Aplica</w:t>
            </w:r>
          </w:p>
        </w:tc>
        <w:tc>
          <w:tcPr>
            <w:tcW w:w="364" w:type="pct"/>
            <w:tcBorders>
              <w:top w:val="nil"/>
              <w:left w:val="nil"/>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0</w:t>
            </w:r>
          </w:p>
        </w:tc>
        <w:tc>
          <w:tcPr>
            <w:tcW w:w="364" w:type="pct"/>
            <w:tcBorders>
              <w:top w:val="nil"/>
              <w:left w:val="nil"/>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0</w:t>
            </w:r>
          </w:p>
        </w:tc>
        <w:tc>
          <w:tcPr>
            <w:tcW w:w="364" w:type="pct"/>
            <w:tcBorders>
              <w:top w:val="nil"/>
              <w:left w:val="nil"/>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2</w:t>
            </w:r>
          </w:p>
        </w:tc>
        <w:tc>
          <w:tcPr>
            <w:tcW w:w="366" w:type="pct"/>
            <w:tcBorders>
              <w:top w:val="nil"/>
              <w:left w:val="nil"/>
              <w:bottom w:val="single" w:sz="4" w:space="0" w:color="auto"/>
              <w:right w:val="single" w:sz="4" w:space="0" w:color="auto"/>
            </w:tcBorders>
            <w:shd w:val="clear" w:color="auto" w:fill="auto"/>
            <w:noWrap/>
            <w:vAlign w:val="center"/>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0</w:t>
            </w:r>
          </w:p>
        </w:tc>
        <w:tc>
          <w:tcPr>
            <w:tcW w:w="364" w:type="pct"/>
            <w:tcBorders>
              <w:top w:val="nil"/>
              <w:left w:val="nil"/>
              <w:bottom w:val="single" w:sz="4" w:space="0" w:color="auto"/>
              <w:right w:val="single" w:sz="4" w:space="0" w:color="auto"/>
            </w:tcBorders>
            <w:shd w:val="clear" w:color="auto" w:fill="auto"/>
            <w:noWrap/>
            <w:vAlign w:val="center"/>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2</w:t>
            </w:r>
          </w:p>
        </w:tc>
        <w:tc>
          <w:tcPr>
            <w:tcW w:w="586" w:type="pct"/>
            <w:tcBorders>
              <w:top w:val="nil"/>
              <w:left w:val="nil"/>
              <w:bottom w:val="single" w:sz="4" w:space="0" w:color="auto"/>
              <w:right w:val="single" w:sz="4" w:space="0" w:color="auto"/>
            </w:tcBorders>
            <w:shd w:val="clear" w:color="auto" w:fill="auto"/>
            <w:noWrap/>
            <w:vAlign w:val="center"/>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2</w:t>
            </w:r>
          </w:p>
        </w:tc>
        <w:tc>
          <w:tcPr>
            <w:tcW w:w="469" w:type="pct"/>
            <w:tcBorders>
              <w:top w:val="nil"/>
              <w:left w:val="nil"/>
              <w:bottom w:val="single" w:sz="4" w:space="0" w:color="auto"/>
              <w:right w:val="single" w:sz="8"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100%</w:t>
            </w:r>
          </w:p>
        </w:tc>
      </w:tr>
      <w:tr w:rsidR="00705458" w:rsidRPr="00916ECF" w:rsidTr="00916ECF">
        <w:trPr>
          <w:trHeight w:val="393"/>
        </w:trPr>
        <w:tc>
          <w:tcPr>
            <w:tcW w:w="204" w:type="pct"/>
            <w:tcBorders>
              <w:top w:val="nil"/>
              <w:left w:val="single" w:sz="8" w:space="0" w:color="auto"/>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13</w:t>
            </w:r>
          </w:p>
        </w:tc>
        <w:tc>
          <w:tcPr>
            <w:tcW w:w="1918" w:type="pct"/>
            <w:tcBorders>
              <w:top w:val="nil"/>
              <w:left w:val="nil"/>
              <w:bottom w:val="single" w:sz="4" w:space="0" w:color="auto"/>
              <w:right w:val="single" w:sz="4" w:space="0" w:color="auto"/>
            </w:tcBorders>
            <w:shd w:val="clear" w:color="auto" w:fill="auto"/>
            <w:vAlign w:val="center"/>
            <w:hideMark/>
          </w:tcPr>
          <w:p w:rsidR="00705458" w:rsidRPr="00916ECF" w:rsidRDefault="00705458" w:rsidP="00705458">
            <w:pPr>
              <w:spacing w:after="0" w:line="240" w:lineRule="auto"/>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Apelación</w:t>
            </w:r>
          </w:p>
        </w:tc>
        <w:tc>
          <w:tcPr>
            <w:tcW w:w="364" w:type="pct"/>
            <w:tcBorders>
              <w:top w:val="nil"/>
              <w:left w:val="nil"/>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0</w:t>
            </w:r>
          </w:p>
        </w:tc>
        <w:tc>
          <w:tcPr>
            <w:tcW w:w="364" w:type="pct"/>
            <w:tcBorders>
              <w:top w:val="nil"/>
              <w:left w:val="nil"/>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1</w:t>
            </w:r>
          </w:p>
        </w:tc>
        <w:tc>
          <w:tcPr>
            <w:tcW w:w="364" w:type="pct"/>
            <w:tcBorders>
              <w:top w:val="nil"/>
              <w:left w:val="nil"/>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0</w:t>
            </w:r>
          </w:p>
        </w:tc>
        <w:tc>
          <w:tcPr>
            <w:tcW w:w="366" w:type="pct"/>
            <w:tcBorders>
              <w:top w:val="nil"/>
              <w:left w:val="nil"/>
              <w:bottom w:val="single" w:sz="4" w:space="0" w:color="auto"/>
              <w:right w:val="single" w:sz="4" w:space="0" w:color="auto"/>
            </w:tcBorders>
            <w:shd w:val="clear" w:color="auto" w:fill="auto"/>
            <w:noWrap/>
            <w:vAlign w:val="center"/>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0</w:t>
            </w:r>
          </w:p>
        </w:tc>
        <w:tc>
          <w:tcPr>
            <w:tcW w:w="364" w:type="pct"/>
            <w:tcBorders>
              <w:top w:val="nil"/>
              <w:left w:val="nil"/>
              <w:bottom w:val="single" w:sz="4" w:space="0" w:color="auto"/>
              <w:right w:val="single" w:sz="4" w:space="0" w:color="auto"/>
            </w:tcBorders>
            <w:shd w:val="clear" w:color="auto" w:fill="auto"/>
            <w:noWrap/>
            <w:vAlign w:val="center"/>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1</w:t>
            </w:r>
          </w:p>
        </w:tc>
        <w:tc>
          <w:tcPr>
            <w:tcW w:w="586" w:type="pct"/>
            <w:tcBorders>
              <w:top w:val="nil"/>
              <w:left w:val="nil"/>
              <w:bottom w:val="single" w:sz="4" w:space="0" w:color="auto"/>
              <w:right w:val="single" w:sz="4" w:space="0" w:color="auto"/>
            </w:tcBorders>
            <w:shd w:val="clear" w:color="auto" w:fill="auto"/>
            <w:noWrap/>
            <w:vAlign w:val="center"/>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1</w:t>
            </w:r>
          </w:p>
        </w:tc>
        <w:tc>
          <w:tcPr>
            <w:tcW w:w="469" w:type="pct"/>
            <w:tcBorders>
              <w:top w:val="nil"/>
              <w:left w:val="nil"/>
              <w:bottom w:val="single" w:sz="4" w:space="0" w:color="auto"/>
              <w:right w:val="single" w:sz="8"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100%</w:t>
            </w:r>
          </w:p>
        </w:tc>
      </w:tr>
      <w:tr w:rsidR="00705458" w:rsidRPr="00916ECF" w:rsidTr="00916ECF">
        <w:trPr>
          <w:trHeight w:val="393"/>
        </w:trPr>
        <w:tc>
          <w:tcPr>
            <w:tcW w:w="204" w:type="pct"/>
            <w:tcBorders>
              <w:top w:val="nil"/>
              <w:left w:val="single" w:sz="8" w:space="0" w:color="auto"/>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 </w:t>
            </w:r>
          </w:p>
        </w:tc>
        <w:tc>
          <w:tcPr>
            <w:tcW w:w="1918" w:type="pct"/>
            <w:tcBorders>
              <w:top w:val="nil"/>
              <w:left w:val="nil"/>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Subtotal</w:t>
            </w:r>
          </w:p>
        </w:tc>
        <w:tc>
          <w:tcPr>
            <w:tcW w:w="364" w:type="pct"/>
            <w:tcBorders>
              <w:top w:val="nil"/>
              <w:left w:val="nil"/>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290</w:t>
            </w:r>
          </w:p>
        </w:tc>
        <w:tc>
          <w:tcPr>
            <w:tcW w:w="364" w:type="pct"/>
            <w:tcBorders>
              <w:top w:val="nil"/>
              <w:left w:val="nil"/>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257</w:t>
            </w:r>
          </w:p>
        </w:tc>
        <w:tc>
          <w:tcPr>
            <w:tcW w:w="364" w:type="pct"/>
            <w:tcBorders>
              <w:top w:val="nil"/>
              <w:left w:val="nil"/>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264</w:t>
            </w:r>
          </w:p>
        </w:tc>
        <w:tc>
          <w:tcPr>
            <w:tcW w:w="366" w:type="pct"/>
            <w:tcBorders>
              <w:top w:val="nil"/>
              <w:left w:val="nil"/>
              <w:bottom w:val="single" w:sz="4" w:space="0" w:color="auto"/>
              <w:right w:val="single" w:sz="4" w:space="0" w:color="auto"/>
            </w:tcBorders>
            <w:shd w:val="clear" w:color="auto" w:fill="auto"/>
            <w:noWrap/>
            <w:vAlign w:val="center"/>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196</w:t>
            </w:r>
          </w:p>
        </w:tc>
        <w:tc>
          <w:tcPr>
            <w:tcW w:w="364" w:type="pct"/>
            <w:tcBorders>
              <w:top w:val="nil"/>
              <w:left w:val="nil"/>
              <w:bottom w:val="single" w:sz="4" w:space="0" w:color="auto"/>
              <w:right w:val="single" w:sz="4" w:space="0" w:color="auto"/>
            </w:tcBorders>
            <w:shd w:val="clear" w:color="auto" w:fill="auto"/>
            <w:noWrap/>
            <w:vAlign w:val="center"/>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1007</w:t>
            </w:r>
          </w:p>
        </w:tc>
        <w:tc>
          <w:tcPr>
            <w:tcW w:w="586" w:type="pct"/>
            <w:tcBorders>
              <w:top w:val="nil"/>
              <w:left w:val="nil"/>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393</w:t>
            </w:r>
          </w:p>
        </w:tc>
        <w:tc>
          <w:tcPr>
            <w:tcW w:w="469" w:type="pct"/>
            <w:tcBorders>
              <w:top w:val="nil"/>
              <w:left w:val="nil"/>
              <w:bottom w:val="single" w:sz="4" w:space="0" w:color="auto"/>
              <w:right w:val="single" w:sz="8"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39%</w:t>
            </w:r>
          </w:p>
        </w:tc>
      </w:tr>
      <w:tr w:rsidR="00705458" w:rsidRPr="00916ECF" w:rsidTr="00916ECF">
        <w:trPr>
          <w:trHeight w:val="393"/>
        </w:trPr>
        <w:tc>
          <w:tcPr>
            <w:tcW w:w="204" w:type="pct"/>
            <w:tcBorders>
              <w:top w:val="nil"/>
              <w:left w:val="single" w:sz="8" w:space="0" w:color="auto"/>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14</w:t>
            </w:r>
          </w:p>
        </w:tc>
        <w:tc>
          <w:tcPr>
            <w:tcW w:w="1918" w:type="pct"/>
            <w:tcBorders>
              <w:top w:val="nil"/>
              <w:left w:val="nil"/>
              <w:bottom w:val="single" w:sz="4" w:space="0" w:color="auto"/>
              <w:right w:val="single" w:sz="4" w:space="0" w:color="auto"/>
            </w:tcBorders>
            <w:shd w:val="clear" w:color="auto" w:fill="auto"/>
            <w:vAlign w:val="center"/>
            <w:hideMark/>
          </w:tcPr>
          <w:p w:rsidR="00705458" w:rsidRPr="00916ECF" w:rsidRDefault="00705458" w:rsidP="00705458">
            <w:pPr>
              <w:spacing w:after="0" w:line="240" w:lineRule="auto"/>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Plano Catastro Individual</w:t>
            </w:r>
          </w:p>
        </w:tc>
        <w:tc>
          <w:tcPr>
            <w:tcW w:w="364" w:type="pct"/>
            <w:tcBorders>
              <w:top w:val="nil"/>
              <w:left w:val="nil"/>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5</w:t>
            </w:r>
          </w:p>
        </w:tc>
        <w:tc>
          <w:tcPr>
            <w:tcW w:w="364" w:type="pct"/>
            <w:tcBorders>
              <w:top w:val="nil"/>
              <w:left w:val="nil"/>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0</w:t>
            </w:r>
          </w:p>
        </w:tc>
        <w:tc>
          <w:tcPr>
            <w:tcW w:w="364" w:type="pct"/>
            <w:tcBorders>
              <w:top w:val="nil"/>
              <w:left w:val="nil"/>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26</w:t>
            </w:r>
          </w:p>
        </w:tc>
        <w:tc>
          <w:tcPr>
            <w:tcW w:w="366" w:type="pct"/>
            <w:tcBorders>
              <w:top w:val="nil"/>
              <w:left w:val="nil"/>
              <w:bottom w:val="single" w:sz="4" w:space="0" w:color="auto"/>
              <w:right w:val="single" w:sz="4" w:space="0" w:color="auto"/>
            </w:tcBorders>
            <w:shd w:val="clear" w:color="auto" w:fill="auto"/>
            <w:noWrap/>
            <w:vAlign w:val="center"/>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36</w:t>
            </w:r>
          </w:p>
        </w:tc>
        <w:tc>
          <w:tcPr>
            <w:tcW w:w="364" w:type="pct"/>
            <w:tcBorders>
              <w:top w:val="nil"/>
              <w:left w:val="nil"/>
              <w:bottom w:val="single" w:sz="4" w:space="0" w:color="auto"/>
              <w:right w:val="single" w:sz="4" w:space="0" w:color="auto"/>
            </w:tcBorders>
            <w:shd w:val="clear" w:color="auto" w:fill="auto"/>
            <w:noWrap/>
            <w:vAlign w:val="center"/>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67</w:t>
            </w:r>
          </w:p>
        </w:tc>
        <w:tc>
          <w:tcPr>
            <w:tcW w:w="586" w:type="pct"/>
            <w:tcBorders>
              <w:top w:val="nil"/>
              <w:left w:val="nil"/>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28</w:t>
            </w:r>
          </w:p>
        </w:tc>
        <w:tc>
          <w:tcPr>
            <w:tcW w:w="469" w:type="pct"/>
            <w:tcBorders>
              <w:top w:val="nil"/>
              <w:left w:val="nil"/>
              <w:bottom w:val="single" w:sz="4" w:space="0" w:color="auto"/>
              <w:right w:val="single" w:sz="8"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41.8%</w:t>
            </w:r>
          </w:p>
        </w:tc>
      </w:tr>
      <w:tr w:rsidR="00705458" w:rsidRPr="00916ECF" w:rsidTr="00916ECF">
        <w:trPr>
          <w:trHeight w:val="393"/>
        </w:trPr>
        <w:tc>
          <w:tcPr>
            <w:tcW w:w="204" w:type="pct"/>
            <w:tcBorders>
              <w:top w:val="nil"/>
              <w:left w:val="single" w:sz="8" w:space="0" w:color="auto"/>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15</w:t>
            </w:r>
          </w:p>
        </w:tc>
        <w:tc>
          <w:tcPr>
            <w:tcW w:w="1918" w:type="pct"/>
            <w:tcBorders>
              <w:top w:val="nil"/>
              <w:left w:val="nil"/>
              <w:bottom w:val="single" w:sz="4" w:space="0" w:color="auto"/>
              <w:right w:val="single" w:sz="4" w:space="0" w:color="auto"/>
            </w:tcBorders>
            <w:shd w:val="clear" w:color="auto" w:fill="auto"/>
            <w:vAlign w:val="center"/>
            <w:hideMark/>
          </w:tcPr>
          <w:p w:rsidR="00705458" w:rsidRPr="00916ECF" w:rsidRDefault="00705458" w:rsidP="00705458">
            <w:pPr>
              <w:spacing w:after="0" w:line="240" w:lineRule="auto"/>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Plano General Catastro Urb.</w:t>
            </w:r>
          </w:p>
        </w:tc>
        <w:tc>
          <w:tcPr>
            <w:tcW w:w="364" w:type="pct"/>
            <w:tcBorders>
              <w:top w:val="nil"/>
              <w:left w:val="nil"/>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6</w:t>
            </w:r>
          </w:p>
        </w:tc>
        <w:tc>
          <w:tcPr>
            <w:tcW w:w="364" w:type="pct"/>
            <w:tcBorders>
              <w:top w:val="nil"/>
              <w:left w:val="nil"/>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3</w:t>
            </w:r>
          </w:p>
        </w:tc>
        <w:tc>
          <w:tcPr>
            <w:tcW w:w="364" w:type="pct"/>
            <w:tcBorders>
              <w:top w:val="nil"/>
              <w:left w:val="nil"/>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4</w:t>
            </w:r>
          </w:p>
        </w:tc>
        <w:tc>
          <w:tcPr>
            <w:tcW w:w="366" w:type="pct"/>
            <w:tcBorders>
              <w:top w:val="nil"/>
              <w:left w:val="nil"/>
              <w:bottom w:val="single" w:sz="4" w:space="0" w:color="auto"/>
              <w:right w:val="single" w:sz="4" w:space="0" w:color="auto"/>
            </w:tcBorders>
            <w:shd w:val="clear" w:color="auto" w:fill="auto"/>
            <w:noWrap/>
            <w:vAlign w:val="center"/>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5</w:t>
            </w:r>
          </w:p>
        </w:tc>
        <w:tc>
          <w:tcPr>
            <w:tcW w:w="364" w:type="pct"/>
            <w:tcBorders>
              <w:top w:val="nil"/>
              <w:left w:val="nil"/>
              <w:bottom w:val="single" w:sz="4" w:space="0" w:color="auto"/>
              <w:right w:val="single" w:sz="4" w:space="0" w:color="auto"/>
            </w:tcBorders>
            <w:shd w:val="clear" w:color="auto" w:fill="auto"/>
            <w:noWrap/>
            <w:vAlign w:val="center"/>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18</w:t>
            </w:r>
          </w:p>
        </w:tc>
        <w:tc>
          <w:tcPr>
            <w:tcW w:w="586" w:type="pct"/>
            <w:tcBorders>
              <w:top w:val="nil"/>
              <w:left w:val="nil"/>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5</w:t>
            </w:r>
          </w:p>
        </w:tc>
        <w:tc>
          <w:tcPr>
            <w:tcW w:w="469" w:type="pct"/>
            <w:tcBorders>
              <w:top w:val="nil"/>
              <w:left w:val="nil"/>
              <w:bottom w:val="single" w:sz="4" w:space="0" w:color="auto"/>
              <w:right w:val="single" w:sz="8"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27.8%</w:t>
            </w:r>
          </w:p>
        </w:tc>
      </w:tr>
      <w:tr w:rsidR="00705458" w:rsidRPr="00916ECF" w:rsidTr="00916ECF">
        <w:trPr>
          <w:trHeight w:val="393"/>
        </w:trPr>
        <w:tc>
          <w:tcPr>
            <w:tcW w:w="204" w:type="pct"/>
            <w:tcBorders>
              <w:top w:val="nil"/>
              <w:left w:val="single" w:sz="8" w:space="0" w:color="auto"/>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16</w:t>
            </w:r>
          </w:p>
        </w:tc>
        <w:tc>
          <w:tcPr>
            <w:tcW w:w="1918" w:type="pct"/>
            <w:tcBorders>
              <w:top w:val="nil"/>
              <w:left w:val="nil"/>
              <w:bottom w:val="single" w:sz="4" w:space="0" w:color="auto"/>
              <w:right w:val="single" w:sz="4" w:space="0" w:color="auto"/>
            </w:tcBorders>
            <w:shd w:val="clear" w:color="auto" w:fill="auto"/>
            <w:vAlign w:val="center"/>
            <w:hideMark/>
          </w:tcPr>
          <w:p w:rsidR="00705458" w:rsidRPr="00916ECF" w:rsidRDefault="00705458" w:rsidP="00705458">
            <w:pPr>
              <w:spacing w:after="0" w:line="240" w:lineRule="auto"/>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Resellos de Catastro y P. G. C.</w:t>
            </w:r>
          </w:p>
        </w:tc>
        <w:tc>
          <w:tcPr>
            <w:tcW w:w="364" w:type="pct"/>
            <w:tcBorders>
              <w:top w:val="nil"/>
              <w:left w:val="nil"/>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0</w:t>
            </w:r>
          </w:p>
        </w:tc>
        <w:tc>
          <w:tcPr>
            <w:tcW w:w="364" w:type="pct"/>
            <w:tcBorders>
              <w:top w:val="nil"/>
              <w:left w:val="nil"/>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1</w:t>
            </w:r>
          </w:p>
        </w:tc>
        <w:tc>
          <w:tcPr>
            <w:tcW w:w="364" w:type="pct"/>
            <w:tcBorders>
              <w:top w:val="nil"/>
              <w:left w:val="nil"/>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2</w:t>
            </w:r>
          </w:p>
        </w:tc>
        <w:tc>
          <w:tcPr>
            <w:tcW w:w="366" w:type="pct"/>
            <w:tcBorders>
              <w:top w:val="nil"/>
              <w:left w:val="nil"/>
              <w:bottom w:val="single" w:sz="4" w:space="0" w:color="auto"/>
              <w:right w:val="single" w:sz="4" w:space="0" w:color="auto"/>
            </w:tcBorders>
            <w:shd w:val="clear" w:color="auto" w:fill="auto"/>
            <w:noWrap/>
            <w:vAlign w:val="center"/>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1</w:t>
            </w:r>
          </w:p>
        </w:tc>
        <w:tc>
          <w:tcPr>
            <w:tcW w:w="364" w:type="pct"/>
            <w:tcBorders>
              <w:top w:val="nil"/>
              <w:left w:val="nil"/>
              <w:bottom w:val="single" w:sz="4" w:space="0" w:color="auto"/>
              <w:right w:val="single" w:sz="4" w:space="0" w:color="auto"/>
            </w:tcBorders>
            <w:shd w:val="clear" w:color="auto" w:fill="auto"/>
            <w:noWrap/>
            <w:vAlign w:val="center"/>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4</w:t>
            </w:r>
          </w:p>
        </w:tc>
        <w:tc>
          <w:tcPr>
            <w:tcW w:w="586" w:type="pct"/>
            <w:tcBorders>
              <w:top w:val="nil"/>
              <w:left w:val="nil"/>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4</w:t>
            </w:r>
          </w:p>
        </w:tc>
        <w:tc>
          <w:tcPr>
            <w:tcW w:w="469" w:type="pct"/>
            <w:tcBorders>
              <w:top w:val="nil"/>
              <w:left w:val="nil"/>
              <w:bottom w:val="single" w:sz="4" w:space="0" w:color="auto"/>
              <w:right w:val="single" w:sz="8"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100%</w:t>
            </w:r>
          </w:p>
        </w:tc>
      </w:tr>
      <w:tr w:rsidR="00705458" w:rsidRPr="00916ECF" w:rsidTr="00916ECF">
        <w:trPr>
          <w:trHeight w:val="393"/>
        </w:trPr>
        <w:tc>
          <w:tcPr>
            <w:tcW w:w="204" w:type="pct"/>
            <w:tcBorders>
              <w:top w:val="nil"/>
              <w:left w:val="single" w:sz="8" w:space="0" w:color="auto"/>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17</w:t>
            </w:r>
          </w:p>
        </w:tc>
        <w:tc>
          <w:tcPr>
            <w:tcW w:w="1918" w:type="pct"/>
            <w:tcBorders>
              <w:top w:val="nil"/>
              <w:left w:val="nil"/>
              <w:bottom w:val="single" w:sz="4" w:space="0" w:color="auto"/>
              <w:right w:val="single" w:sz="4" w:space="0" w:color="auto"/>
            </w:tcBorders>
            <w:shd w:val="clear" w:color="auto" w:fill="auto"/>
            <w:vAlign w:val="center"/>
            <w:hideMark/>
          </w:tcPr>
          <w:p w:rsidR="00705458" w:rsidRPr="00916ECF" w:rsidRDefault="00705458" w:rsidP="00705458">
            <w:pPr>
              <w:spacing w:after="0" w:line="240" w:lineRule="auto"/>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Alineamientos</w:t>
            </w:r>
          </w:p>
        </w:tc>
        <w:tc>
          <w:tcPr>
            <w:tcW w:w="364" w:type="pct"/>
            <w:tcBorders>
              <w:top w:val="nil"/>
              <w:left w:val="nil"/>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646</w:t>
            </w:r>
          </w:p>
        </w:tc>
        <w:tc>
          <w:tcPr>
            <w:tcW w:w="364" w:type="pct"/>
            <w:tcBorders>
              <w:top w:val="nil"/>
              <w:left w:val="nil"/>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517</w:t>
            </w:r>
          </w:p>
        </w:tc>
        <w:tc>
          <w:tcPr>
            <w:tcW w:w="364" w:type="pct"/>
            <w:tcBorders>
              <w:top w:val="nil"/>
              <w:left w:val="nil"/>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546</w:t>
            </w:r>
          </w:p>
        </w:tc>
        <w:tc>
          <w:tcPr>
            <w:tcW w:w="366" w:type="pct"/>
            <w:tcBorders>
              <w:top w:val="nil"/>
              <w:left w:val="nil"/>
              <w:bottom w:val="single" w:sz="4" w:space="0" w:color="auto"/>
              <w:right w:val="single" w:sz="4" w:space="0" w:color="auto"/>
            </w:tcBorders>
            <w:shd w:val="clear" w:color="auto" w:fill="auto"/>
            <w:noWrap/>
            <w:vAlign w:val="center"/>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534</w:t>
            </w:r>
          </w:p>
        </w:tc>
        <w:tc>
          <w:tcPr>
            <w:tcW w:w="364" w:type="pct"/>
            <w:tcBorders>
              <w:top w:val="nil"/>
              <w:left w:val="nil"/>
              <w:bottom w:val="single" w:sz="4" w:space="0" w:color="auto"/>
              <w:right w:val="single" w:sz="4" w:space="0" w:color="auto"/>
            </w:tcBorders>
            <w:shd w:val="clear" w:color="auto" w:fill="auto"/>
            <w:noWrap/>
            <w:vAlign w:val="center"/>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2243</w:t>
            </w:r>
          </w:p>
        </w:tc>
        <w:tc>
          <w:tcPr>
            <w:tcW w:w="586" w:type="pct"/>
            <w:tcBorders>
              <w:top w:val="nil"/>
              <w:left w:val="nil"/>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2243</w:t>
            </w:r>
          </w:p>
        </w:tc>
        <w:tc>
          <w:tcPr>
            <w:tcW w:w="469" w:type="pct"/>
            <w:tcBorders>
              <w:top w:val="nil"/>
              <w:left w:val="nil"/>
              <w:bottom w:val="single" w:sz="4" w:space="0" w:color="auto"/>
              <w:right w:val="single" w:sz="8"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100%</w:t>
            </w:r>
          </w:p>
        </w:tc>
      </w:tr>
      <w:tr w:rsidR="00705458" w:rsidRPr="00916ECF" w:rsidTr="00916ECF">
        <w:trPr>
          <w:trHeight w:val="393"/>
        </w:trPr>
        <w:tc>
          <w:tcPr>
            <w:tcW w:w="204" w:type="pct"/>
            <w:tcBorders>
              <w:top w:val="nil"/>
              <w:left w:val="single" w:sz="8" w:space="0" w:color="auto"/>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 </w:t>
            </w:r>
          </w:p>
        </w:tc>
        <w:tc>
          <w:tcPr>
            <w:tcW w:w="1918" w:type="pct"/>
            <w:tcBorders>
              <w:top w:val="nil"/>
              <w:left w:val="nil"/>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Subtotal</w:t>
            </w:r>
          </w:p>
        </w:tc>
        <w:tc>
          <w:tcPr>
            <w:tcW w:w="364" w:type="pct"/>
            <w:tcBorders>
              <w:top w:val="nil"/>
              <w:left w:val="nil"/>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657</w:t>
            </w:r>
          </w:p>
        </w:tc>
        <w:tc>
          <w:tcPr>
            <w:tcW w:w="364" w:type="pct"/>
            <w:tcBorders>
              <w:top w:val="nil"/>
              <w:left w:val="nil"/>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521</w:t>
            </w:r>
          </w:p>
        </w:tc>
        <w:tc>
          <w:tcPr>
            <w:tcW w:w="364" w:type="pct"/>
            <w:tcBorders>
              <w:top w:val="nil"/>
              <w:left w:val="nil"/>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578</w:t>
            </w:r>
          </w:p>
        </w:tc>
        <w:tc>
          <w:tcPr>
            <w:tcW w:w="366" w:type="pct"/>
            <w:tcBorders>
              <w:top w:val="nil"/>
              <w:left w:val="nil"/>
              <w:bottom w:val="single" w:sz="4" w:space="0" w:color="auto"/>
              <w:right w:val="single" w:sz="4" w:space="0" w:color="auto"/>
            </w:tcBorders>
            <w:shd w:val="clear" w:color="auto" w:fill="auto"/>
            <w:noWrap/>
            <w:vAlign w:val="center"/>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576</w:t>
            </w:r>
          </w:p>
        </w:tc>
        <w:tc>
          <w:tcPr>
            <w:tcW w:w="364" w:type="pct"/>
            <w:tcBorders>
              <w:top w:val="nil"/>
              <w:left w:val="nil"/>
              <w:bottom w:val="single" w:sz="4" w:space="0" w:color="auto"/>
              <w:right w:val="single" w:sz="4" w:space="0" w:color="auto"/>
            </w:tcBorders>
            <w:shd w:val="clear" w:color="auto" w:fill="auto"/>
            <w:noWrap/>
            <w:vAlign w:val="center"/>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2332</w:t>
            </w:r>
          </w:p>
        </w:tc>
        <w:tc>
          <w:tcPr>
            <w:tcW w:w="586" w:type="pct"/>
            <w:tcBorders>
              <w:top w:val="nil"/>
              <w:left w:val="nil"/>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2280</w:t>
            </w:r>
          </w:p>
        </w:tc>
        <w:tc>
          <w:tcPr>
            <w:tcW w:w="469" w:type="pct"/>
            <w:tcBorders>
              <w:top w:val="nil"/>
              <w:left w:val="nil"/>
              <w:bottom w:val="single" w:sz="4" w:space="0" w:color="auto"/>
              <w:right w:val="single" w:sz="8"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97.8%</w:t>
            </w:r>
          </w:p>
        </w:tc>
      </w:tr>
      <w:tr w:rsidR="00705458" w:rsidRPr="00916ECF" w:rsidTr="00916ECF">
        <w:trPr>
          <w:trHeight w:val="393"/>
        </w:trPr>
        <w:tc>
          <w:tcPr>
            <w:tcW w:w="204" w:type="pct"/>
            <w:tcBorders>
              <w:top w:val="nil"/>
              <w:left w:val="single" w:sz="8" w:space="0" w:color="auto"/>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 </w:t>
            </w:r>
          </w:p>
        </w:tc>
        <w:tc>
          <w:tcPr>
            <w:tcW w:w="1918" w:type="pct"/>
            <w:tcBorders>
              <w:top w:val="nil"/>
              <w:left w:val="nil"/>
              <w:bottom w:val="single" w:sz="4" w:space="0" w:color="auto"/>
              <w:right w:val="single" w:sz="4" w:space="0" w:color="auto"/>
            </w:tcBorders>
            <w:shd w:val="clear" w:color="auto" w:fill="auto"/>
            <w:vAlign w:val="center"/>
            <w:hideMark/>
          </w:tcPr>
          <w:p w:rsidR="00705458" w:rsidRPr="00916ECF" w:rsidRDefault="00705458" w:rsidP="00705458">
            <w:pPr>
              <w:spacing w:after="0" w:line="240" w:lineRule="auto"/>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Total</w:t>
            </w:r>
          </w:p>
        </w:tc>
        <w:tc>
          <w:tcPr>
            <w:tcW w:w="364" w:type="pct"/>
            <w:tcBorders>
              <w:top w:val="nil"/>
              <w:left w:val="nil"/>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947</w:t>
            </w:r>
          </w:p>
        </w:tc>
        <w:tc>
          <w:tcPr>
            <w:tcW w:w="364" w:type="pct"/>
            <w:tcBorders>
              <w:top w:val="nil"/>
              <w:left w:val="nil"/>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778</w:t>
            </w:r>
          </w:p>
        </w:tc>
        <w:tc>
          <w:tcPr>
            <w:tcW w:w="364" w:type="pct"/>
            <w:tcBorders>
              <w:top w:val="nil"/>
              <w:left w:val="nil"/>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842</w:t>
            </w:r>
          </w:p>
        </w:tc>
        <w:tc>
          <w:tcPr>
            <w:tcW w:w="366" w:type="pct"/>
            <w:tcBorders>
              <w:top w:val="nil"/>
              <w:left w:val="nil"/>
              <w:bottom w:val="single" w:sz="4" w:space="0" w:color="auto"/>
              <w:right w:val="single" w:sz="4" w:space="0" w:color="auto"/>
            </w:tcBorders>
            <w:shd w:val="clear" w:color="auto" w:fill="auto"/>
            <w:noWrap/>
            <w:vAlign w:val="center"/>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772</w:t>
            </w:r>
          </w:p>
        </w:tc>
        <w:tc>
          <w:tcPr>
            <w:tcW w:w="364" w:type="pct"/>
            <w:tcBorders>
              <w:top w:val="nil"/>
              <w:left w:val="nil"/>
              <w:bottom w:val="single" w:sz="4" w:space="0" w:color="auto"/>
              <w:right w:val="single" w:sz="4" w:space="0" w:color="auto"/>
            </w:tcBorders>
            <w:shd w:val="clear" w:color="auto" w:fill="auto"/>
            <w:noWrap/>
            <w:vAlign w:val="center"/>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3339</w:t>
            </w:r>
          </w:p>
        </w:tc>
        <w:tc>
          <w:tcPr>
            <w:tcW w:w="586" w:type="pct"/>
            <w:tcBorders>
              <w:top w:val="nil"/>
              <w:left w:val="nil"/>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2673</w:t>
            </w:r>
          </w:p>
        </w:tc>
        <w:tc>
          <w:tcPr>
            <w:tcW w:w="469" w:type="pct"/>
            <w:tcBorders>
              <w:top w:val="nil"/>
              <w:left w:val="nil"/>
              <w:bottom w:val="single" w:sz="4" w:space="0" w:color="auto"/>
              <w:right w:val="single" w:sz="8"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80.1%</w:t>
            </w:r>
          </w:p>
        </w:tc>
      </w:tr>
      <w:tr w:rsidR="00705458" w:rsidRPr="00916ECF" w:rsidTr="00916ECF">
        <w:trPr>
          <w:trHeight w:val="393"/>
        </w:trPr>
        <w:tc>
          <w:tcPr>
            <w:tcW w:w="204" w:type="pct"/>
            <w:tcBorders>
              <w:top w:val="nil"/>
              <w:left w:val="single" w:sz="8" w:space="0" w:color="auto"/>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18</w:t>
            </w:r>
          </w:p>
        </w:tc>
        <w:tc>
          <w:tcPr>
            <w:tcW w:w="1918" w:type="pct"/>
            <w:tcBorders>
              <w:top w:val="nil"/>
              <w:left w:val="nil"/>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Total de Consultas en Fiscalización</w:t>
            </w:r>
          </w:p>
        </w:tc>
        <w:tc>
          <w:tcPr>
            <w:tcW w:w="364" w:type="pct"/>
            <w:tcBorders>
              <w:top w:val="nil"/>
              <w:left w:val="nil"/>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375</w:t>
            </w:r>
          </w:p>
        </w:tc>
        <w:tc>
          <w:tcPr>
            <w:tcW w:w="364" w:type="pct"/>
            <w:tcBorders>
              <w:top w:val="nil"/>
              <w:left w:val="nil"/>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365</w:t>
            </w:r>
          </w:p>
        </w:tc>
        <w:tc>
          <w:tcPr>
            <w:tcW w:w="364" w:type="pct"/>
            <w:tcBorders>
              <w:top w:val="nil"/>
              <w:left w:val="nil"/>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239</w:t>
            </w:r>
          </w:p>
        </w:tc>
        <w:tc>
          <w:tcPr>
            <w:tcW w:w="366" w:type="pct"/>
            <w:tcBorders>
              <w:top w:val="nil"/>
              <w:left w:val="nil"/>
              <w:bottom w:val="single" w:sz="4" w:space="0" w:color="auto"/>
              <w:right w:val="single" w:sz="4" w:space="0" w:color="auto"/>
            </w:tcBorders>
            <w:shd w:val="clear" w:color="auto" w:fill="auto"/>
            <w:noWrap/>
            <w:vAlign w:val="center"/>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212</w:t>
            </w:r>
          </w:p>
        </w:tc>
        <w:tc>
          <w:tcPr>
            <w:tcW w:w="364" w:type="pct"/>
            <w:tcBorders>
              <w:top w:val="nil"/>
              <w:left w:val="nil"/>
              <w:bottom w:val="single" w:sz="4" w:space="0" w:color="auto"/>
              <w:right w:val="single" w:sz="4" w:space="0" w:color="auto"/>
            </w:tcBorders>
            <w:shd w:val="clear" w:color="auto" w:fill="auto"/>
            <w:noWrap/>
            <w:vAlign w:val="center"/>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1091</w:t>
            </w:r>
          </w:p>
        </w:tc>
        <w:tc>
          <w:tcPr>
            <w:tcW w:w="586" w:type="pct"/>
            <w:tcBorders>
              <w:top w:val="nil"/>
              <w:left w:val="nil"/>
              <w:bottom w:val="single" w:sz="4" w:space="0" w:color="auto"/>
              <w:right w:val="single" w:sz="4" w:space="0" w:color="auto"/>
            </w:tcBorders>
            <w:shd w:val="clear" w:color="auto" w:fill="auto"/>
            <w:noWrap/>
            <w:vAlign w:val="center"/>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p>
        </w:tc>
        <w:tc>
          <w:tcPr>
            <w:tcW w:w="469" w:type="pct"/>
            <w:tcBorders>
              <w:top w:val="nil"/>
              <w:left w:val="nil"/>
              <w:bottom w:val="single" w:sz="4" w:space="0" w:color="auto"/>
              <w:right w:val="single" w:sz="8" w:space="0" w:color="auto"/>
            </w:tcBorders>
            <w:shd w:val="clear" w:color="auto" w:fill="auto"/>
            <w:noWrap/>
            <w:vAlign w:val="center"/>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p>
        </w:tc>
      </w:tr>
      <w:tr w:rsidR="00705458" w:rsidRPr="00916ECF" w:rsidTr="00916ECF">
        <w:trPr>
          <w:trHeight w:val="393"/>
        </w:trPr>
        <w:tc>
          <w:tcPr>
            <w:tcW w:w="204" w:type="pct"/>
            <w:tcBorders>
              <w:top w:val="nil"/>
              <w:left w:val="single" w:sz="8" w:space="0" w:color="auto"/>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19</w:t>
            </w:r>
          </w:p>
        </w:tc>
        <w:tc>
          <w:tcPr>
            <w:tcW w:w="1918" w:type="pct"/>
            <w:tcBorders>
              <w:top w:val="nil"/>
              <w:left w:val="nil"/>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Inspecciones Alineamientos</w:t>
            </w:r>
          </w:p>
        </w:tc>
        <w:tc>
          <w:tcPr>
            <w:tcW w:w="364" w:type="pct"/>
            <w:tcBorders>
              <w:top w:val="nil"/>
              <w:left w:val="nil"/>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42</w:t>
            </w:r>
          </w:p>
        </w:tc>
        <w:tc>
          <w:tcPr>
            <w:tcW w:w="364" w:type="pct"/>
            <w:tcBorders>
              <w:top w:val="nil"/>
              <w:left w:val="nil"/>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76</w:t>
            </w:r>
          </w:p>
        </w:tc>
        <w:tc>
          <w:tcPr>
            <w:tcW w:w="364" w:type="pct"/>
            <w:tcBorders>
              <w:top w:val="nil"/>
              <w:left w:val="nil"/>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4</w:t>
            </w:r>
          </w:p>
        </w:tc>
        <w:tc>
          <w:tcPr>
            <w:tcW w:w="366" w:type="pct"/>
            <w:tcBorders>
              <w:top w:val="nil"/>
              <w:left w:val="nil"/>
              <w:bottom w:val="single" w:sz="4" w:space="0" w:color="auto"/>
              <w:right w:val="single" w:sz="4" w:space="0" w:color="auto"/>
            </w:tcBorders>
            <w:shd w:val="clear" w:color="auto" w:fill="auto"/>
            <w:noWrap/>
            <w:vAlign w:val="center"/>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115</w:t>
            </w:r>
          </w:p>
        </w:tc>
        <w:tc>
          <w:tcPr>
            <w:tcW w:w="364" w:type="pct"/>
            <w:tcBorders>
              <w:top w:val="nil"/>
              <w:left w:val="nil"/>
              <w:bottom w:val="single" w:sz="4" w:space="0" w:color="auto"/>
              <w:right w:val="single" w:sz="4" w:space="0" w:color="auto"/>
            </w:tcBorders>
            <w:shd w:val="clear" w:color="auto" w:fill="auto"/>
            <w:noWrap/>
            <w:vAlign w:val="center"/>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241</w:t>
            </w:r>
          </w:p>
        </w:tc>
        <w:tc>
          <w:tcPr>
            <w:tcW w:w="586" w:type="pct"/>
            <w:tcBorders>
              <w:top w:val="nil"/>
              <w:left w:val="nil"/>
              <w:bottom w:val="single" w:sz="4" w:space="0" w:color="auto"/>
              <w:right w:val="single" w:sz="4" w:space="0" w:color="auto"/>
            </w:tcBorders>
            <w:shd w:val="clear" w:color="auto" w:fill="auto"/>
            <w:noWrap/>
            <w:vAlign w:val="center"/>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p>
        </w:tc>
        <w:tc>
          <w:tcPr>
            <w:tcW w:w="469" w:type="pct"/>
            <w:tcBorders>
              <w:top w:val="nil"/>
              <w:left w:val="nil"/>
              <w:bottom w:val="single" w:sz="4" w:space="0" w:color="auto"/>
              <w:right w:val="single" w:sz="8" w:space="0" w:color="auto"/>
            </w:tcBorders>
            <w:shd w:val="clear" w:color="auto" w:fill="auto"/>
            <w:noWrap/>
            <w:vAlign w:val="center"/>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p>
        </w:tc>
      </w:tr>
      <w:tr w:rsidR="00705458" w:rsidRPr="00916ECF" w:rsidTr="00916ECF">
        <w:trPr>
          <w:trHeight w:val="393"/>
        </w:trPr>
        <w:tc>
          <w:tcPr>
            <w:tcW w:w="204" w:type="pct"/>
            <w:tcBorders>
              <w:top w:val="nil"/>
              <w:left w:val="single" w:sz="8" w:space="0" w:color="auto"/>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20</w:t>
            </w:r>
          </w:p>
        </w:tc>
        <w:tc>
          <w:tcPr>
            <w:tcW w:w="1918" w:type="pct"/>
            <w:tcBorders>
              <w:top w:val="nil"/>
              <w:left w:val="nil"/>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Inspecciones Plano General Catastro</w:t>
            </w:r>
          </w:p>
        </w:tc>
        <w:tc>
          <w:tcPr>
            <w:tcW w:w="364" w:type="pct"/>
            <w:tcBorders>
              <w:top w:val="nil"/>
              <w:left w:val="nil"/>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4</w:t>
            </w:r>
          </w:p>
        </w:tc>
        <w:tc>
          <w:tcPr>
            <w:tcW w:w="364" w:type="pct"/>
            <w:tcBorders>
              <w:top w:val="nil"/>
              <w:left w:val="nil"/>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0</w:t>
            </w:r>
          </w:p>
        </w:tc>
        <w:tc>
          <w:tcPr>
            <w:tcW w:w="364" w:type="pct"/>
            <w:tcBorders>
              <w:top w:val="nil"/>
              <w:left w:val="nil"/>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1</w:t>
            </w:r>
          </w:p>
        </w:tc>
        <w:tc>
          <w:tcPr>
            <w:tcW w:w="366" w:type="pct"/>
            <w:tcBorders>
              <w:top w:val="nil"/>
              <w:left w:val="nil"/>
              <w:bottom w:val="single" w:sz="4" w:space="0" w:color="auto"/>
              <w:right w:val="single" w:sz="4" w:space="0" w:color="auto"/>
            </w:tcBorders>
            <w:shd w:val="clear" w:color="auto" w:fill="auto"/>
            <w:noWrap/>
            <w:vAlign w:val="center"/>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4</w:t>
            </w:r>
          </w:p>
        </w:tc>
        <w:tc>
          <w:tcPr>
            <w:tcW w:w="364" w:type="pct"/>
            <w:tcBorders>
              <w:top w:val="nil"/>
              <w:left w:val="nil"/>
              <w:bottom w:val="single" w:sz="4" w:space="0" w:color="auto"/>
              <w:right w:val="single" w:sz="4" w:space="0" w:color="auto"/>
            </w:tcBorders>
            <w:shd w:val="clear" w:color="auto" w:fill="auto"/>
            <w:noWrap/>
            <w:vAlign w:val="center"/>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9</w:t>
            </w:r>
          </w:p>
        </w:tc>
        <w:tc>
          <w:tcPr>
            <w:tcW w:w="586" w:type="pct"/>
            <w:tcBorders>
              <w:top w:val="nil"/>
              <w:left w:val="nil"/>
              <w:bottom w:val="single" w:sz="4" w:space="0" w:color="auto"/>
              <w:right w:val="single" w:sz="4" w:space="0" w:color="auto"/>
            </w:tcBorders>
            <w:shd w:val="clear" w:color="auto" w:fill="auto"/>
            <w:noWrap/>
            <w:vAlign w:val="center"/>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p>
        </w:tc>
        <w:tc>
          <w:tcPr>
            <w:tcW w:w="469" w:type="pct"/>
            <w:tcBorders>
              <w:top w:val="nil"/>
              <w:left w:val="nil"/>
              <w:bottom w:val="single" w:sz="4" w:space="0" w:color="auto"/>
              <w:right w:val="single" w:sz="8" w:space="0" w:color="auto"/>
            </w:tcBorders>
            <w:shd w:val="clear" w:color="auto" w:fill="auto"/>
            <w:noWrap/>
            <w:vAlign w:val="center"/>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p>
        </w:tc>
      </w:tr>
      <w:tr w:rsidR="00705458" w:rsidRPr="00916ECF" w:rsidTr="00916ECF">
        <w:trPr>
          <w:trHeight w:val="393"/>
        </w:trPr>
        <w:tc>
          <w:tcPr>
            <w:tcW w:w="204" w:type="pct"/>
            <w:tcBorders>
              <w:top w:val="nil"/>
              <w:left w:val="single" w:sz="8" w:space="0" w:color="auto"/>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21</w:t>
            </w:r>
          </w:p>
        </w:tc>
        <w:tc>
          <w:tcPr>
            <w:tcW w:w="1918" w:type="pct"/>
            <w:tcBorders>
              <w:top w:val="nil"/>
              <w:left w:val="nil"/>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Oficios</w:t>
            </w:r>
          </w:p>
        </w:tc>
        <w:tc>
          <w:tcPr>
            <w:tcW w:w="364" w:type="pct"/>
            <w:tcBorders>
              <w:top w:val="nil"/>
              <w:left w:val="nil"/>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17</w:t>
            </w:r>
          </w:p>
        </w:tc>
        <w:tc>
          <w:tcPr>
            <w:tcW w:w="364" w:type="pct"/>
            <w:tcBorders>
              <w:top w:val="nil"/>
              <w:left w:val="nil"/>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20</w:t>
            </w:r>
          </w:p>
        </w:tc>
        <w:tc>
          <w:tcPr>
            <w:tcW w:w="364" w:type="pct"/>
            <w:tcBorders>
              <w:top w:val="nil"/>
              <w:left w:val="nil"/>
              <w:bottom w:val="single" w:sz="4"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35</w:t>
            </w:r>
          </w:p>
        </w:tc>
        <w:tc>
          <w:tcPr>
            <w:tcW w:w="366" w:type="pct"/>
            <w:tcBorders>
              <w:top w:val="nil"/>
              <w:left w:val="nil"/>
              <w:bottom w:val="single" w:sz="4" w:space="0" w:color="auto"/>
              <w:right w:val="single" w:sz="4" w:space="0" w:color="auto"/>
            </w:tcBorders>
            <w:shd w:val="clear" w:color="auto" w:fill="auto"/>
            <w:noWrap/>
            <w:vAlign w:val="center"/>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17</w:t>
            </w:r>
          </w:p>
        </w:tc>
        <w:tc>
          <w:tcPr>
            <w:tcW w:w="364" w:type="pct"/>
            <w:tcBorders>
              <w:top w:val="nil"/>
              <w:left w:val="nil"/>
              <w:bottom w:val="single" w:sz="4" w:space="0" w:color="auto"/>
              <w:right w:val="single" w:sz="4" w:space="0" w:color="auto"/>
            </w:tcBorders>
            <w:shd w:val="clear" w:color="auto" w:fill="auto"/>
            <w:noWrap/>
            <w:vAlign w:val="center"/>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89</w:t>
            </w:r>
          </w:p>
        </w:tc>
        <w:tc>
          <w:tcPr>
            <w:tcW w:w="586" w:type="pct"/>
            <w:tcBorders>
              <w:top w:val="nil"/>
              <w:left w:val="nil"/>
              <w:bottom w:val="single" w:sz="4" w:space="0" w:color="auto"/>
              <w:right w:val="single" w:sz="4" w:space="0" w:color="auto"/>
            </w:tcBorders>
            <w:shd w:val="clear" w:color="auto" w:fill="auto"/>
            <w:noWrap/>
            <w:vAlign w:val="center"/>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p>
        </w:tc>
        <w:tc>
          <w:tcPr>
            <w:tcW w:w="469" w:type="pct"/>
            <w:tcBorders>
              <w:top w:val="nil"/>
              <w:left w:val="nil"/>
              <w:bottom w:val="single" w:sz="4" w:space="0" w:color="auto"/>
              <w:right w:val="single" w:sz="8" w:space="0" w:color="auto"/>
            </w:tcBorders>
            <w:shd w:val="clear" w:color="auto" w:fill="auto"/>
            <w:noWrap/>
            <w:vAlign w:val="center"/>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p>
        </w:tc>
      </w:tr>
      <w:tr w:rsidR="00705458" w:rsidRPr="00916ECF" w:rsidTr="00916ECF">
        <w:trPr>
          <w:trHeight w:val="85"/>
        </w:trPr>
        <w:tc>
          <w:tcPr>
            <w:tcW w:w="204" w:type="pct"/>
            <w:tcBorders>
              <w:top w:val="nil"/>
              <w:left w:val="single" w:sz="8" w:space="0" w:color="auto"/>
              <w:bottom w:val="single" w:sz="8"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22</w:t>
            </w:r>
          </w:p>
        </w:tc>
        <w:tc>
          <w:tcPr>
            <w:tcW w:w="1918" w:type="pct"/>
            <w:tcBorders>
              <w:top w:val="nil"/>
              <w:left w:val="nil"/>
              <w:bottom w:val="single" w:sz="8" w:space="0" w:color="auto"/>
              <w:right w:val="single" w:sz="4" w:space="0" w:color="auto"/>
            </w:tcBorders>
            <w:shd w:val="clear" w:color="auto" w:fill="auto"/>
            <w:noWrap/>
            <w:vAlign w:val="center"/>
            <w:hideMark/>
          </w:tcPr>
          <w:p w:rsidR="00705458" w:rsidRPr="00916ECF" w:rsidRDefault="00705458" w:rsidP="00705458">
            <w:pPr>
              <w:spacing w:after="0" w:line="240" w:lineRule="auto"/>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Consultas por Correo y Telefónicas (*)</w:t>
            </w:r>
          </w:p>
        </w:tc>
        <w:tc>
          <w:tcPr>
            <w:tcW w:w="364" w:type="pct"/>
            <w:tcBorders>
              <w:top w:val="nil"/>
              <w:left w:val="nil"/>
              <w:bottom w:val="single" w:sz="8"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15</w:t>
            </w:r>
          </w:p>
        </w:tc>
        <w:tc>
          <w:tcPr>
            <w:tcW w:w="364" w:type="pct"/>
            <w:tcBorders>
              <w:top w:val="nil"/>
              <w:left w:val="nil"/>
              <w:bottom w:val="single" w:sz="8"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436</w:t>
            </w:r>
          </w:p>
        </w:tc>
        <w:tc>
          <w:tcPr>
            <w:tcW w:w="364" w:type="pct"/>
            <w:tcBorders>
              <w:top w:val="nil"/>
              <w:left w:val="nil"/>
              <w:bottom w:val="single" w:sz="8"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162</w:t>
            </w:r>
          </w:p>
        </w:tc>
        <w:tc>
          <w:tcPr>
            <w:tcW w:w="366" w:type="pct"/>
            <w:tcBorders>
              <w:top w:val="nil"/>
              <w:left w:val="nil"/>
              <w:bottom w:val="single" w:sz="8" w:space="0" w:color="auto"/>
              <w:right w:val="single" w:sz="4" w:space="0" w:color="auto"/>
            </w:tcBorders>
            <w:shd w:val="clear" w:color="auto" w:fill="auto"/>
            <w:noWrap/>
            <w:vAlign w:val="center"/>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483</w:t>
            </w:r>
          </w:p>
        </w:tc>
        <w:tc>
          <w:tcPr>
            <w:tcW w:w="364" w:type="pct"/>
            <w:tcBorders>
              <w:top w:val="nil"/>
              <w:left w:val="nil"/>
              <w:bottom w:val="single" w:sz="8" w:space="0" w:color="auto"/>
              <w:right w:val="single" w:sz="4" w:space="0" w:color="auto"/>
            </w:tcBorders>
            <w:shd w:val="clear" w:color="auto" w:fill="auto"/>
            <w:noWrap/>
            <w:vAlign w:val="center"/>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1096</w:t>
            </w:r>
          </w:p>
        </w:tc>
        <w:tc>
          <w:tcPr>
            <w:tcW w:w="586" w:type="pct"/>
            <w:tcBorders>
              <w:top w:val="nil"/>
              <w:left w:val="nil"/>
              <w:bottom w:val="single" w:sz="8" w:space="0" w:color="auto"/>
              <w:right w:val="single" w:sz="4"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 </w:t>
            </w:r>
          </w:p>
        </w:tc>
        <w:tc>
          <w:tcPr>
            <w:tcW w:w="469" w:type="pct"/>
            <w:tcBorders>
              <w:top w:val="nil"/>
              <w:left w:val="nil"/>
              <w:bottom w:val="single" w:sz="8" w:space="0" w:color="auto"/>
              <w:right w:val="single" w:sz="8" w:space="0" w:color="auto"/>
            </w:tcBorders>
            <w:shd w:val="clear" w:color="auto" w:fill="auto"/>
            <w:noWrap/>
            <w:vAlign w:val="center"/>
            <w:hideMark/>
          </w:tcPr>
          <w:p w:rsidR="00705458" w:rsidRPr="00916ECF" w:rsidRDefault="00705458" w:rsidP="00705458">
            <w:pPr>
              <w:spacing w:after="0" w:line="240" w:lineRule="auto"/>
              <w:jc w:val="center"/>
              <w:rPr>
                <w:rFonts w:ascii="Arial" w:eastAsia="Times New Roman" w:hAnsi="Arial" w:cs="Arial"/>
                <w:bCs/>
                <w:color w:val="000000"/>
                <w:sz w:val="18"/>
                <w:szCs w:val="18"/>
                <w:lang w:eastAsia="es-CR"/>
              </w:rPr>
            </w:pPr>
            <w:r w:rsidRPr="00916ECF">
              <w:rPr>
                <w:rFonts w:ascii="Arial" w:eastAsia="Times New Roman" w:hAnsi="Arial" w:cs="Arial"/>
                <w:bCs/>
                <w:color w:val="000000"/>
                <w:sz w:val="18"/>
                <w:szCs w:val="18"/>
                <w:lang w:eastAsia="es-CR"/>
              </w:rPr>
              <w:t> </w:t>
            </w:r>
          </w:p>
        </w:tc>
      </w:tr>
    </w:tbl>
    <w:p w:rsidR="00705458" w:rsidRPr="00705458" w:rsidRDefault="00705458" w:rsidP="00705458">
      <w:pPr>
        <w:spacing w:after="0" w:line="240" w:lineRule="auto"/>
        <w:jc w:val="both"/>
        <w:rPr>
          <w:rFonts w:ascii="Arial" w:eastAsia="Times New Roman" w:hAnsi="Arial" w:cs="Arial"/>
          <w:bCs/>
          <w:color w:val="000000"/>
          <w:sz w:val="18"/>
          <w:szCs w:val="18"/>
          <w:lang w:eastAsia="es-CR"/>
        </w:rPr>
      </w:pPr>
      <w:r w:rsidRPr="00705458">
        <w:rPr>
          <w:rFonts w:ascii="Arial" w:eastAsia="Times New Roman" w:hAnsi="Arial" w:cs="Arial"/>
          <w:bCs/>
          <w:color w:val="000000"/>
          <w:sz w:val="18"/>
          <w:szCs w:val="18"/>
          <w:lang w:eastAsia="es-CR"/>
        </w:rPr>
        <w:t>Nota Fuente: Informe de rendimiento de cuentas de área. (2017)</w:t>
      </w:r>
    </w:p>
    <w:p w:rsidR="00705458" w:rsidRPr="00705458" w:rsidRDefault="00705458" w:rsidP="00705458">
      <w:pPr>
        <w:spacing w:after="0" w:line="240" w:lineRule="auto"/>
        <w:jc w:val="both"/>
        <w:rPr>
          <w:rFonts w:ascii="Arial" w:eastAsia="Times New Roman" w:hAnsi="Arial" w:cs="Arial"/>
          <w:bCs/>
          <w:color w:val="000000"/>
          <w:sz w:val="18"/>
          <w:szCs w:val="18"/>
          <w:lang w:eastAsia="es-CR"/>
        </w:rPr>
      </w:pPr>
    </w:p>
    <w:p w:rsidR="00705458" w:rsidRPr="00705458" w:rsidRDefault="00705458" w:rsidP="00705458">
      <w:pPr>
        <w:spacing w:after="0" w:line="240" w:lineRule="auto"/>
        <w:jc w:val="both"/>
        <w:rPr>
          <w:rFonts w:ascii="Arial" w:eastAsia="Times New Roman" w:hAnsi="Arial" w:cs="Arial"/>
          <w:bCs/>
          <w:color w:val="000000"/>
          <w:sz w:val="18"/>
          <w:szCs w:val="18"/>
          <w:lang w:eastAsia="es-CR"/>
        </w:rPr>
      </w:pPr>
      <w:r w:rsidRPr="00705458">
        <w:rPr>
          <w:rFonts w:ascii="Arial" w:eastAsia="Times New Roman" w:hAnsi="Arial" w:cs="Arial"/>
          <w:bCs/>
          <w:color w:val="000000"/>
          <w:sz w:val="18"/>
          <w:szCs w:val="18"/>
          <w:lang w:eastAsia="es-CR"/>
        </w:rPr>
        <w:t>(*) A partir del II trimestre se contabilizan las consultas sobre alineamientos y catastros, atendidas en la Plataforma de Servicios, las cuales no fueron consideras en el I trimestre.</w:t>
      </w:r>
    </w:p>
    <w:p w:rsidR="00916ECF" w:rsidRDefault="00916ECF" w:rsidP="00746DC0">
      <w:pPr>
        <w:spacing w:after="0" w:line="240" w:lineRule="auto"/>
        <w:jc w:val="both"/>
        <w:rPr>
          <w:rFonts w:ascii="Arial" w:eastAsia="Times New Roman" w:hAnsi="Arial" w:cs="Arial"/>
          <w:b/>
          <w:sz w:val="20"/>
          <w:szCs w:val="20"/>
          <w:lang w:eastAsia="es-ES"/>
        </w:rPr>
      </w:pPr>
    </w:p>
    <w:p w:rsidR="00746DC0" w:rsidRPr="00746DC0" w:rsidRDefault="00746DC0" w:rsidP="00746DC0">
      <w:pPr>
        <w:spacing w:after="0" w:line="240" w:lineRule="auto"/>
        <w:jc w:val="both"/>
        <w:rPr>
          <w:rFonts w:ascii="Arial" w:eastAsia="Times New Roman" w:hAnsi="Arial" w:cs="Arial"/>
          <w:b/>
          <w:sz w:val="20"/>
          <w:szCs w:val="20"/>
          <w:lang w:eastAsia="es-ES"/>
        </w:rPr>
      </w:pPr>
      <w:r w:rsidRPr="00746DC0">
        <w:rPr>
          <w:rFonts w:ascii="Arial" w:eastAsia="Times New Roman" w:hAnsi="Arial" w:cs="Arial"/>
          <w:b/>
          <w:sz w:val="20"/>
          <w:szCs w:val="20"/>
          <w:lang w:eastAsia="es-ES"/>
        </w:rPr>
        <w:t>Indicador N°15 Número de verificaciones de campo realizadas a los proyectos y alineamientos visados</w:t>
      </w:r>
    </w:p>
    <w:p w:rsidR="00746DC0" w:rsidRPr="00746DC0" w:rsidRDefault="00746DC0" w:rsidP="00746DC0">
      <w:pPr>
        <w:spacing w:after="0" w:line="240" w:lineRule="auto"/>
        <w:jc w:val="both"/>
        <w:rPr>
          <w:rFonts w:ascii="Arial" w:eastAsia="Times New Roman" w:hAnsi="Arial" w:cs="Arial"/>
          <w:b/>
          <w:sz w:val="20"/>
          <w:szCs w:val="20"/>
          <w:lang w:eastAsia="es-ES"/>
        </w:rPr>
      </w:pPr>
    </w:p>
    <w:p w:rsidR="00746DC0" w:rsidRPr="00746DC0" w:rsidRDefault="00746DC0" w:rsidP="00746DC0">
      <w:pPr>
        <w:spacing w:after="0" w:line="240" w:lineRule="auto"/>
        <w:jc w:val="both"/>
        <w:rPr>
          <w:rFonts w:ascii="Arial" w:eastAsia="Times New Roman" w:hAnsi="Arial" w:cs="Arial"/>
          <w:sz w:val="20"/>
          <w:szCs w:val="20"/>
          <w:lang w:eastAsia="es-ES"/>
        </w:rPr>
      </w:pPr>
      <w:r w:rsidRPr="00746DC0">
        <w:rPr>
          <w:rFonts w:ascii="Arial" w:eastAsia="Times New Roman" w:hAnsi="Arial" w:cs="Arial"/>
          <w:sz w:val="20"/>
          <w:szCs w:val="20"/>
          <w:lang w:eastAsia="es-ES"/>
        </w:rPr>
        <w:t xml:space="preserve">De enero a diciembre se realizaron 250 verificaciones de campo, de las cuales 241 corresponden a los alineamientos otorgados y 9 a los planos generales de catastro. </w:t>
      </w:r>
    </w:p>
    <w:p w:rsidR="00746DC0" w:rsidRPr="00746DC0" w:rsidRDefault="00746DC0" w:rsidP="00746DC0">
      <w:pPr>
        <w:spacing w:after="0" w:line="240" w:lineRule="auto"/>
        <w:jc w:val="both"/>
        <w:rPr>
          <w:rFonts w:ascii="Arial" w:eastAsia="Times New Roman" w:hAnsi="Arial" w:cs="Arial"/>
          <w:sz w:val="20"/>
          <w:szCs w:val="20"/>
          <w:lang w:eastAsia="es-ES"/>
        </w:rPr>
      </w:pPr>
    </w:p>
    <w:p w:rsidR="00746DC0" w:rsidRPr="00746DC0" w:rsidRDefault="00746DC0" w:rsidP="00746DC0">
      <w:pPr>
        <w:spacing w:after="0" w:line="240" w:lineRule="auto"/>
        <w:jc w:val="both"/>
        <w:rPr>
          <w:rFonts w:ascii="Arial" w:eastAsia="Times New Roman" w:hAnsi="Arial" w:cs="Arial"/>
          <w:sz w:val="20"/>
          <w:szCs w:val="20"/>
          <w:lang w:eastAsia="es-ES"/>
        </w:rPr>
      </w:pPr>
      <w:r w:rsidRPr="00746DC0">
        <w:rPr>
          <w:rFonts w:ascii="Arial" w:eastAsia="Times New Roman" w:hAnsi="Arial" w:cs="Arial"/>
          <w:sz w:val="20"/>
          <w:szCs w:val="20"/>
          <w:lang w:eastAsia="es-ES"/>
        </w:rPr>
        <w:t xml:space="preserve">La meta de 600 verificaciones, se alcanzó en forma parcial en un 42%. </w:t>
      </w:r>
    </w:p>
    <w:p w:rsidR="00746DC0" w:rsidRPr="00746DC0" w:rsidRDefault="00746DC0" w:rsidP="00746DC0">
      <w:pPr>
        <w:spacing w:after="0" w:line="240" w:lineRule="auto"/>
        <w:jc w:val="both"/>
        <w:rPr>
          <w:rFonts w:ascii="Arial" w:eastAsia="Times New Roman" w:hAnsi="Arial" w:cs="Arial"/>
          <w:sz w:val="20"/>
          <w:szCs w:val="20"/>
          <w:lang w:eastAsia="es-ES"/>
        </w:rPr>
      </w:pPr>
    </w:p>
    <w:p w:rsidR="00746DC0" w:rsidRPr="00746DC0" w:rsidRDefault="00746DC0" w:rsidP="00746DC0">
      <w:pPr>
        <w:spacing w:after="0" w:line="240" w:lineRule="auto"/>
        <w:jc w:val="center"/>
        <w:rPr>
          <w:rFonts w:ascii="Arial" w:eastAsia="Times New Roman" w:hAnsi="Arial" w:cs="Arial"/>
          <w:b/>
          <w:sz w:val="20"/>
          <w:szCs w:val="20"/>
          <w:lang w:eastAsia="es-ES"/>
        </w:rPr>
      </w:pPr>
      <w:r w:rsidRPr="00746DC0">
        <w:rPr>
          <w:rFonts w:ascii="Arial" w:eastAsia="Times New Roman" w:hAnsi="Arial" w:cs="Arial"/>
          <w:b/>
          <w:sz w:val="20"/>
          <w:szCs w:val="20"/>
          <w:lang w:eastAsia="es-ES"/>
        </w:rPr>
        <w:t>Cuadro 7 Lugares visitados por provincia y cantón</w:t>
      </w:r>
    </w:p>
    <w:p w:rsidR="00746DC0" w:rsidRPr="00746DC0" w:rsidRDefault="00746DC0" w:rsidP="00746DC0">
      <w:pPr>
        <w:spacing w:after="0" w:line="240" w:lineRule="auto"/>
        <w:jc w:val="center"/>
        <w:rPr>
          <w:rFonts w:ascii="Arial" w:eastAsia="Times New Roman" w:hAnsi="Arial" w:cs="Arial"/>
          <w:b/>
          <w:sz w:val="20"/>
          <w:szCs w:val="20"/>
          <w:lang w:eastAsia="es-ES"/>
        </w:rPr>
      </w:pPr>
      <w:r w:rsidRPr="00746DC0">
        <w:rPr>
          <w:rFonts w:ascii="Arial" w:eastAsia="Times New Roman" w:hAnsi="Arial" w:cs="Arial"/>
          <w:b/>
          <w:sz w:val="20"/>
          <w:szCs w:val="20"/>
          <w:lang w:eastAsia="es-ES"/>
        </w:rPr>
        <w:t>Enero – diciembre 2017</w:t>
      </w:r>
    </w:p>
    <w:tbl>
      <w:tblPr>
        <w:tblW w:w="902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677"/>
        <w:gridCol w:w="7348"/>
      </w:tblGrid>
      <w:tr w:rsidR="00746DC0" w:rsidRPr="00746DC0" w:rsidTr="00746DC0">
        <w:trPr>
          <w:trHeight w:val="234"/>
        </w:trPr>
        <w:tc>
          <w:tcPr>
            <w:tcW w:w="1677" w:type="dxa"/>
            <w:tcBorders>
              <w:bottom w:val="single" w:sz="12" w:space="0" w:color="000000"/>
            </w:tcBorders>
            <w:shd w:val="clear" w:color="auto" w:fill="auto"/>
          </w:tcPr>
          <w:p w:rsidR="00746DC0" w:rsidRPr="00746DC0" w:rsidRDefault="00746DC0" w:rsidP="00746DC0">
            <w:pPr>
              <w:spacing w:after="0" w:line="240" w:lineRule="auto"/>
              <w:jc w:val="center"/>
              <w:rPr>
                <w:rFonts w:ascii="Arial" w:eastAsia="Times New Roman" w:hAnsi="Arial" w:cs="Arial"/>
                <w:b/>
                <w:sz w:val="20"/>
                <w:szCs w:val="20"/>
                <w:lang w:eastAsia="es-ES"/>
              </w:rPr>
            </w:pPr>
            <w:r w:rsidRPr="00746DC0">
              <w:rPr>
                <w:rFonts w:ascii="Arial" w:eastAsia="Times New Roman" w:hAnsi="Arial" w:cs="Arial"/>
                <w:b/>
                <w:sz w:val="20"/>
                <w:szCs w:val="20"/>
                <w:lang w:eastAsia="es-ES"/>
              </w:rPr>
              <w:t>Provincia</w:t>
            </w:r>
          </w:p>
        </w:tc>
        <w:tc>
          <w:tcPr>
            <w:tcW w:w="7348" w:type="dxa"/>
            <w:tcBorders>
              <w:bottom w:val="single" w:sz="12" w:space="0" w:color="000000"/>
            </w:tcBorders>
            <w:shd w:val="clear" w:color="auto" w:fill="auto"/>
          </w:tcPr>
          <w:p w:rsidR="00746DC0" w:rsidRPr="00746DC0" w:rsidRDefault="00746DC0" w:rsidP="00746DC0">
            <w:pPr>
              <w:spacing w:after="0" w:line="240" w:lineRule="auto"/>
              <w:jc w:val="center"/>
              <w:rPr>
                <w:rFonts w:ascii="Arial" w:eastAsia="Times New Roman" w:hAnsi="Arial" w:cs="Arial"/>
                <w:b/>
                <w:sz w:val="20"/>
                <w:szCs w:val="20"/>
                <w:lang w:eastAsia="es-ES"/>
              </w:rPr>
            </w:pPr>
            <w:r w:rsidRPr="00746DC0">
              <w:rPr>
                <w:rFonts w:ascii="Arial" w:eastAsia="Times New Roman" w:hAnsi="Arial" w:cs="Arial"/>
                <w:b/>
                <w:sz w:val="20"/>
                <w:szCs w:val="20"/>
                <w:lang w:eastAsia="es-ES"/>
              </w:rPr>
              <w:t>Cantón</w:t>
            </w:r>
          </w:p>
        </w:tc>
      </w:tr>
      <w:tr w:rsidR="00746DC0" w:rsidRPr="00746DC0" w:rsidTr="00746DC0">
        <w:trPr>
          <w:trHeight w:val="468"/>
        </w:trPr>
        <w:tc>
          <w:tcPr>
            <w:tcW w:w="1677" w:type="dxa"/>
            <w:shd w:val="clear" w:color="auto" w:fill="auto"/>
          </w:tcPr>
          <w:p w:rsidR="00746DC0" w:rsidRPr="00746DC0" w:rsidRDefault="00746DC0" w:rsidP="00746DC0">
            <w:pPr>
              <w:spacing w:after="0" w:line="240" w:lineRule="auto"/>
              <w:jc w:val="both"/>
              <w:rPr>
                <w:rFonts w:ascii="Arial" w:eastAsia="Times New Roman" w:hAnsi="Arial" w:cs="Arial"/>
                <w:sz w:val="20"/>
                <w:szCs w:val="20"/>
                <w:lang w:eastAsia="es-ES"/>
              </w:rPr>
            </w:pPr>
            <w:r w:rsidRPr="00746DC0">
              <w:rPr>
                <w:rFonts w:ascii="Arial" w:eastAsia="Times New Roman" w:hAnsi="Arial" w:cs="Arial"/>
                <w:sz w:val="20"/>
                <w:szCs w:val="20"/>
                <w:lang w:eastAsia="es-ES"/>
              </w:rPr>
              <w:t>San José</w:t>
            </w:r>
          </w:p>
        </w:tc>
        <w:tc>
          <w:tcPr>
            <w:tcW w:w="7348" w:type="dxa"/>
            <w:shd w:val="clear" w:color="auto" w:fill="auto"/>
          </w:tcPr>
          <w:p w:rsidR="00746DC0" w:rsidRPr="00746DC0" w:rsidRDefault="00746DC0" w:rsidP="00746DC0">
            <w:pPr>
              <w:spacing w:after="0" w:line="240" w:lineRule="auto"/>
              <w:jc w:val="both"/>
              <w:rPr>
                <w:rFonts w:ascii="Arial" w:eastAsia="Times New Roman" w:hAnsi="Arial" w:cs="Arial"/>
                <w:sz w:val="20"/>
                <w:szCs w:val="20"/>
                <w:lang w:eastAsia="es-ES"/>
              </w:rPr>
            </w:pPr>
            <w:r w:rsidRPr="00746DC0">
              <w:rPr>
                <w:rFonts w:ascii="Arial" w:eastAsia="Times New Roman" w:hAnsi="Arial" w:cs="Arial"/>
                <w:sz w:val="20"/>
                <w:szCs w:val="20"/>
                <w:lang w:eastAsia="es-ES"/>
              </w:rPr>
              <w:t xml:space="preserve">- San José, Tibás, Moravia, Desamparados, Alajuelita, Escazú, Santa Ana, Mora, Goicoechea, Coronado, Aserrí, </w:t>
            </w:r>
            <w:r w:rsidR="00916ECF" w:rsidRPr="00746DC0">
              <w:rPr>
                <w:rFonts w:ascii="Arial" w:eastAsia="Times New Roman" w:hAnsi="Arial" w:cs="Arial"/>
                <w:sz w:val="20"/>
                <w:szCs w:val="20"/>
                <w:lang w:eastAsia="es-ES"/>
              </w:rPr>
              <w:t>Pérez</w:t>
            </w:r>
            <w:r w:rsidRPr="00746DC0">
              <w:rPr>
                <w:rFonts w:ascii="Arial" w:eastAsia="Times New Roman" w:hAnsi="Arial" w:cs="Arial"/>
                <w:sz w:val="20"/>
                <w:szCs w:val="20"/>
                <w:lang w:eastAsia="es-ES"/>
              </w:rPr>
              <w:t xml:space="preserve"> Zeledón, Curridabat, Montes de Oca y Puriscal.</w:t>
            </w:r>
          </w:p>
        </w:tc>
      </w:tr>
      <w:tr w:rsidR="00746DC0" w:rsidRPr="00746DC0" w:rsidTr="00746DC0">
        <w:trPr>
          <w:trHeight w:val="234"/>
        </w:trPr>
        <w:tc>
          <w:tcPr>
            <w:tcW w:w="1677" w:type="dxa"/>
            <w:shd w:val="clear" w:color="auto" w:fill="auto"/>
          </w:tcPr>
          <w:p w:rsidR="00746DC0" w:rsidRPr="00746DC0" w:rsidRDefault="00746DC0" w:rsidP="00746DC0">
            <w:pPr>
              <w:spacing w:after="0" w:line="240" w:lineRule="auto"/>
              <w:jc w:val="both"/>
              <w:rPr>
                <w:rFonts w:ascii="Arial" w:eastAsia="Times New Roman" w:hAnsi="Arial" w:cs="Arial"/>
                <w:sz w:val="20"/>
                <w:szCs w:val="20"/>
                <w:lang w:eastAsia="es-ES"/>
              </w:rPr>
            </w:pPr>
            <w:r w:rsidRPr="00746DC0">
              <w:rPr>
                <w:rFonts w:ascii="Arial" w:eastAsia="Times New Roman" w:hAnsi="Arial" w:cs="Arial"/>
                <w:sz w:val="20"/>
                <w:szCs w:val="20"/>
                <w:lang w:eastAsia="es-ES"/>
              </w:rPr>
              <w:t>Alajuela</w:t>
            </w:r>
          </w:p>
        </w:tc>
        <w:tc>
          <w:tcPr>
            <w:tcW w:w="7348" w:type="dxa"/>
            <w:shd w:val="clear" w:color="auto" w:fill="auto"/>
          </w:tcPr>
          <w:p w:rsidR="00746DC0" w:rsidRPr="00746DC0" w:rsidRDefault="00746DC0" w:rsidP="00746DC0">
            <w:pPr>
              <w:spacing w:after="0" w:line="240" w:lineRule="auto"/>
              <w:jc w:val="both"/>
              <w:rPr>
                <w:rFonts w:ascii="Arial" w:eastAsia="Times New Roman" w:hAnsi="Arial" w:cs="Arial"/>
                <w:sz w:val="20"/>
                <w:szCs w:val="20"/>
                <w:lang w:eastAsia="es-ES"/>
              </w:rPr>
            </w:pPr>
            <w:r w:rsidRPr="00746DC0">
              <w:rPr>
                <w:rFonts w:ascii="Arial" w:eastAsia="Times New Roman" w:hAnsi="Arial" w:cs="Arial"/>
                <w:sz w:val="20"/>
                <w:szCs w:val="20"/>
                <w:lang w:eastAsia="es-ES"/>
              </w:rPr>
              <w:t>- San Carlos, Los Chiles, Grecia, Palmares, San Ramón, Atenas, Orotina, Poás, Valverde Vega, Alfaro Ruiz, Alajuela y Naranjo.</w:t>
            </w:r>
          </w:p>
        </w:tc>
      </w:tr>
      <w:tr w:rsidR="00746DC0" w:rsidRPr="00746DC0" w:rsidTr="00746DC0">
        <w:trPr>
          <w:trHeight w:val="234"/>
        </w:trPr>
        <w:tc>
          <w:tcPr>
            <w:tcW w:w="1677" w:type="dxa"/>
            <w:shd w:val="clear" w:color="auto" w:fill="auto"/>
          </w:tcPr>
          <w:p w:rsidR="00746DC0" w:rsidRPr="00746DC0" w:rsidRDefault="00746DC0" w:rsidP="00746DC0">
            <w:pPr>
              <w:spacing w:after="0" w:line="240" w:lineRule="auto"/>
              <w:jc w:val="both"/>
              <w:rPr>
                <w:rFonts w:ascii="Arial" w:eastAsia="Times New Roman" w:hAnsi="Arial" w:cs="Arial"/>
                <w:sz w:val="20"/>
                <w:szCs w:val="20"/>
                <w:lang w:eastAsia="es-ES"/>
              </w:rPr>
            </w:pPr>
            <w:r w:rsidRPr="00746DC0">
              <w:rPr>
                <w:rFonts w:ascii="Arial" w:eastAsia="Times New Roman" w:hAnsi="Arial" w:cs="Arial"/>
                <w:sz w:val="20"/>
                <w:szCs w:val="20"/>
                <w:lang w:eastAsia="es-ES"/>
              </w:rPr>
              <w:t>Heredia</w:t>
            </w:r>
          </w:p>
        </w:tc>
        <w:tc>
          <w:tcPr>
            <w:tcW w:w="7348" w:type="dxa"/>
            <w:shd w:val="clear" w:color="auto" w:fill="auto"/>
          </w:tcPr>
          <w:p w:rsidR="00746DC0" w:rsidRPr="00746DC0" w:rsidRDefault="00746DC0" w:rsidP="00746DC0">
            <w:pPr>
              <w:spacing w:after="0" w:line="240" w:lineRule="auto"/>
              <w:jc w:val="both"/>
              <w:rPr>
                <w:rFonts w:ascii="Arial" w:eastAsia="Times New Roman" w:hAnsi="Arial" w:cs="Arial"/>
                <w:sz w:val="20"/>
                <w:szCs w:val="20"/>
                <w:lang w:eastAsia="es-ES"/>
              </w:rPr>
            </w:pPr>
            <w:r w:rsidRPr="00746DC0">
              <w:rPr>
                <w:rFonts w:ascii="Arial" w:eastAsia="Times New Roman" w:hAnsi="Arial" w:cs="Arial"/>
                <w:sz w:val="20"/>
                <w:szCs w:val="20"/>
                <w:lang w:eastAsia="es-ES"/>
              </w:rPr>
              <w:t xml:space="preserve">- Santo Domingo, San Pablo, Heredia, </w:t>
            </w:r>
            <w:r w:rsidR="00916ECF" w:rsidRPr="00746DC0">
              <w:rPr>
                <w:rFonts w:ascii="Arial" w:eastAsia="Times New Roman" w:hAnsi="Arial" w:cs="Arial"/>
                <w:sz w:val="20"/>
                <w:szCs w:val="20"/>
                <w:lang w:eastAsia="es-ES"/>
              </w:rPr>
              <w:t>Barba</w:t>
            </w:r>
            <w:r w:rsidRPr="00746DC0">
              <w:rPr>
                <w:rFonts w:ascii="Arial" w:eastAsia="Times New Roman" w:hAnsi="Arial" w:cs="Arial"/>
                <w:sz w:val="20"/>
                <w:szCs w:val="20"/>
                <w:lang w:eastAsia="es-ES"/>
              </w:rPr>
              <w:t>, Belén, San Rafael, San Isidro y Flores</w:t>
            </w:r>
          </w:p>
        </w:tc>
      </w:tr>
      <w:tr w:rsidR="00746DC0" w:rsidRPr="00746DC0" w:rsidTr="00746DC0">
        <w:trPr>
          <w:trHeight w:val="234"/>
        </w:trPr>
        <w:tc>
          <w:tcPr>
            <w:tcW w:w="1677" w:type="dxa"/>
            <w:shd w:val="clear" w:color="auto" w:fill="auto"/>
          </w:tcPr>
          <w:p w:rsidR="00746DC0" w:rsidRPr="00746DC0" w:rsidRDefault="00746DC0" w:rsidP="00746DC0">
            <w:pPr>
              <w:spacing w:after="0" w:line="240" w:lineRule="auto"/>
              <w:jc w:val="both"/>
              <w:rPr>
                <w:rFonts w:ascii="Arial" w:eastAsia="Times New Roman" w:hAnsi="Arial" w:cs="Arial"/>
                <w:sz w:val="20"/>
                <w:szCs w:val="20"/>
                <w:lang w:eastAsia="es-ES"/>
              </w:rPr>
            </w:pPr>
            <w:r w:rsidRPr="00746DC0">
              <w:rPr>
                <w:rFonts w:ascii="Arial" w:eastAsia="Times New Roman" w:hAnsi="Arial" w:cs="Arial"/>
                <w:sz w:val="20"/>
                <w:szCs w:val="20"/>
                <w:lang w:eastAsia="es-ES"/>
              </w:rPr>
              <w:t>Guanacaste</w:t>
            </w:r>
          </w:p>
        </w:tc>
        <w:tc>
          <w:tcPr>
            <w:tcW w:w="7348" w:type="dxa"/>
            <w:shd w:val="clear" w:color="auto" w:fill="auto"/>
          </w:tcPr>
          <w:p w:rsidR="00746DC0" w:rsidRPr="00746DC0" w:rsidRDefault="00746DC0" w:rsidP="00746DC0">
            <w:pPr>
              <w:spacing w:after="0" w:line="240" w:lineRule="auto"/>
              <w:jc w:val="both"/>
              <w:rPr>
                <w:rFonts w:ascii="Arial" w:eastAsia="Times New Roman" w:hAnsi="Arial" w:cs="Arial"/>
                <w:sz w:val="20"/>
                <w:szCs w:val="20"/>
                <w:lang w:eastAsia="es-ES"/>
              </w:rPr>
            </w:pPr>
            <w:r w:rsidRPr="00746DC0">
              <w:rPr>
                <w:rFonts w:ascii="Arial" w:eastAsia="Times New Roman" w:hAnsi="Arial" w:cs="Arial"/>
                <w:sz w:val="20"/>
                <w:szCs w:val="20"/>
                <w:lang w:eastAsia="es-ES"/>
              </w:rPr>
              <w:t>- Liberia, Abangares, Bagaces</w:t>
            </w:r>
          </w:p>
        </w:tc>
      </w:tr>
      <w:tr w:rsidR="00746DC0" w:rsidRPr="00746DC0" w:rsidTr="00746DC0">
        <w:trPr>
          <w:trHeight w:val="249"/>
        </w:trPr>
        <w:tc>
          <w:tcPr>
            <w:tcW w:w="1677" w:type="dxa"/>
            <w:shd w:val="clear" w:color="auto" w:fill="auto"/>
          </w:tcPr>
          <w:p w:rsidR="00746DC0" w:rsidRPr="00746DC0" w:rsidRDefault="00746DC0" w:rsidP="00746DC0">
            <w:pPr>
              <w:spacing w:after="0" w:line="240" w:lineRule="auto"/>
              <w:jc w:val="both"/>
              <w:rPr>
                <w:rFonts w:ascii="Arial" w:eastAsia="Times New Roman" w:hAnsi="Arial" w:cs="Arial"/>
                <w:sz w:val="20"/>
                <w:szCs w:val="20"/>
                <w:lang w:eastAsia="es-ES"/>
              </w:rPr>
            </w:pPr>
            <w:r w:rsidRPr="00746DC0">
              <w:rPr>
                <w:rFonts w:ascii="Arial" w:eastAsia="Times New Roman" w:hAnsi="Arial" w:cs="Arial"/>
                <w:sz w:val="20"/>
                <w:szCs w:val="20"/>
                <w:lang w:eastAsia="es-ES"/>
              </w:rPr>
              <w:t>Cartago</w:t>
            </w:r>
          </w:p>
        </w:tc>
        <w:tc>
          <w:tcPr>
            <w:tcW w:w="7348" w:type="dxa"/>
            <w:shd w:val="clear" w:color="auto" w:fill="auto"/>
          </w:tcPr>
          <w:p w:rsidR="00746DC0" w:rsidRPr="00746DC0" w:rsidRDefault="00746DC0" w:rsidP="00746DC0">
            <w:pPr>
              <w:spacing w:after="0" w:line="240" w:lineRule="auto"/>
              <w:jc w:val="both"/>
              <w:rPr>
                <w:rFonts w:ascii="Arial" w:eastAsia="Times New Roman" w:hAnsi="Arial" w:cs="Arial"/>
                <w:sz w:val="20"/>
                <w:szCs w:val="20"/>
                <w:lang w:eastAsia="es-ES"/>
              </w:rPr>
            </w:pPr>
            <w:r w:rsidRPr="00746DC0">
              <w:rPr>
                <w:rFonts w:ascii="Arial" w:eastAsia="Times New Roman" w:hAnsi="Arial" w:cs="Arial"/>
                <w:sz w:val="20"/>
                <w:szCs w:val="20"/>
                <w:lang w:eastAsia="es-ES"/>
              </w:rPr>
              <w:t>- Turrialba, La Unión, Cartago, El Guarco y Paraíso, Oreamuno y Jiménez</w:t>
            </w:r>
          </w:p>
        </w:tc>
      </w:tr>
      <w:tr w:rsidR="00746DC0" w:rsidRPr="00746DC0" w:rsidTr="00746DC0">
        <w:trPr>
          <w:trHeight w:val="249"/>
        </w:trPr>
        <w:tc>
          <w:tcPr>
            <w:tcW w:w="1677" w:type="dxa"/>
            <w:shd w:val="clear" w:color="auto" w:fill="auto"/>
          </w:tcPr>
          <w:p w:rsidR="00746DC0" w:rsidRPr="00746DC0" w:rsidRDefault="00746DC0" w:rsidP="00746DC0">
            <w:pPr>
              <w:spacing w:after="0" w:line="240" w:lineRule="auto"/>
              <w:jc w:val="both"/>
              <w:rPr>
                <w:rFonts w:ascii="Arial" w:eastAsia="Times New Roman" w:hAnsi="Arial" w:cs="Arial"/>
                <w:sz w:val="20"/>
                <w:szCs w:val="20"/>
                <w:lang w:eastAsia="es-ES"/>
              </w:rPr>
            </w:pPr>
            <w:r w:rsidRPr="00746DC0">
              <w:rPr>
                <w:rFonts w:ascii="Arial" w:eastAsia="Times New Roman" w:hAnsi="Arial" w:cs="Arial"/>
                <w:sz w:val="20"/>
                <w:szCs w:val="20"/>
                <w:lang w:eastAsia="es-ES"/>
              </w:rPr>
              <w:t>Puntarenas</w:t>
            </w:r>
          </w:p>
        </w:tc>
        <w:tc>
          <w:tcPr>
            <w:tcW w:w="7348" w:type="dxa"/>
            <w:shd w:val="clear" w:color="auto" w:fill="auto"/>
          </w:tcPr>
          <w:p w:rsidR="00746DC0" w:rsidRPr="00746DC0" w:rsidRDefault="00746DC0" w:rsidP="00746DC0">
            <w:pPr>
              <w:spacing w:after="0" w:line="240" w:lineRule="auto"/>
              <w:jc w:val="both"/>
              <w:rPr>
                <w:rFonts w:ascii="Arial" w:eastAsia="Times New Roman" w:hAnsi="Arial" w:cs="Arial"/>
                <w:sz w:val="20"/>
                <w:szCs w:val="20"/>
                <w:lang w:eastAsia="es-ES"/>
              </w:rPr>
            </w:pPr>
            <w:r w:rsidRPr="00746DC0">
              <w:rPr>
                <w:rFonts w:ascii="Arial" w:eastAsia="Times New Roman" w:hAnsi="Arial" w:cs="Arial"/>
                <w:sz w:val="20"/>
                <w:szCs w:val="20"/>
                <w:lang w:eastAsia="es-ES"/>
              </w:rPr>
              <w:t>- Parrita, Quepos, Garabito y Osa.</w:t>
            </w:r>
          </w:p>
        </w:tc>
      </w:tr>
      <w:tr w:rsidR="00746DC0" w:rsidRPr="00746DC0" w:rsidTr="00746DC0">
        <w:trPr>
          <w:trHeight w:val="249"/>
        </w:trPr>
        <w:tc>
          <w:tcPr>
            <w:tcW w:w="1677" w:type="dxa"/>
            <w:shd w:val="clear" w:color="auto" w:fill="auto"/>
          </w:tcPr>
          <w:p w:rsidR="00746DC0" w:rsidRPr="00746DC0" w:rsidRDefault="00746DC0" w:rsidP="00746DC0">
            <w:pPr>
              <w:spacing w:after="0" w:line="240" w:lineRule="auto"/>
              <w:jc w:val="both"/>
              <w:rPr>
                <w:rFonts w:ascii="Arial" w:eastAsia="Times New Roman" w:hAnsi="Arial" w:cs="Arial"/>
                <w:sz w:val="20"/>
                <w:szCs w:val="20"/>
                <w:lang w:eastAsia="es-ES"/>
              </w:rPr>
            </w:pPr>
            <w:r w:rsidRPr="00746DC0">
              <w:rPr>
                <w:rFonts w:ascii="Arial" w:eastAsia="Times New Roman" w:hAnsi="Arial" w:cs="Arial"/>
                <w:sz w:val="20"/>
                <w:szCs w:val="20"/>
                <w:lang w:eastAsia="es-ES"/>
              </w:rPr>
              <w:t>Limón</w:t>
            </w:r>
          </w:p>
        </w:tc>
        <w:tc>
          <w:tcPr>
            <w:tcW w:w="7348" w:type="dxa"/>
            <w:shd w:val="clear" w:color="auto" w:fill="auto"/>
          </w:tcPr>
          <w:p w:rsidR="00746DC0" w:rsidRPr="00746DC0" w:rsidRDefault="00746DC0" w:rsidP="00746DC0">
            <w:pPr>
              <w:spacing w:after="0" w:line="240" w:lineRule="auto"/>
              <w:jc w:val="both"/>
              <w:rPr>
                <w:rFonts w:ascii="Arial" w:eastAsia="Times New Roman" w:hAnsi="Arial" w:cs="Arial"/>
                <w:sz w:val="20"/>
                <w:szCs w:val="20"/>
                <w:lang w:eastAsia="es-ES"/>
              </w:rPr>
            </w:pPr>
            <w:r w:rsidRPr="00746DC0">
              <w:rPr>
                <w:rFonts w:ascii="Arial" w:eastAsia="Times New Roman" w:hAnsi="Arial" w:cs="Arial"/>
                <w:sz w:val="20"/>
                <w:szCs w:val="20"/>
                <w:lang w:eastAsia="es-ES"/>
              </w:rPr>
              <w:t>- Limón, Pococí y Siquirres.</w:t>
            </w:r>
          </w:p>
        </w:tc>
      </w:tr>
    </w:tbl>
    <w:p w:rsidR="00746DC0" w:rsidRPr="000A5ABE" w:rsidRDefault="00746DC0" w:rsidP="00746DC0">
      <w:pPr>
        <w:spacing w:after="0" w:line="240" w:lineRule="auto"/>
        <w:jc w:val="both"/>
        <w:rPr>
          <w:rFonts w:ascii="Arial" w:eastAsia="Times New Roman" w:hAnsi="Arial" w:cs="Arial"/>
          <w:sz w:val="18"/>
          <w:szCs w:val="18"/>
          <w:lang w:eastAsia="es-ES"/>
        </w:rPr>
      </w:pPr>
      <w:r w:rsidRPr="000A5ABE">
        <w:rPr>
          <w:rFonts w:ascii="Arial" w:eastAsia="Times New Roman" w:hAnsi="Arial" w:cs="Arial"/>
          <w:sz w:val="18"/>
          <w:szCs w:val="18"/>
          <w:lang w:eastAsia="es-ES"/>
        </w:rPr>
        <w:t>Nota Fuente: Informe de rendimiento de cuentas de área. (2017)</w:t>
      </w:r>
    </w:p>
    <w:p w:rsidR="00746DC0" w:rsidRPr="000A5ABE" w:rsidRDefault="00746DC0" w:rsidP="00746DC0">
      <w:pPr>
        <w:spacing w:after="0" w:line="240" w:lineRule="auto"/>
        <w:jc w:val="both"/>
        <w:rPr>
          <w:rFonts w:ascii="Arial" w:eastAsia="Times New Roman" w:hAnsi="Arial" w:cs="Arial"/>
          <w:sz w:val="18"/>
          <w:szCs w:val="18"/>
          <w:lang w:eastAsia="es-ES"/>
        </w:rPr>
      </w:pPr>
    </w:p>
    <w:p w:rsidR="00746DC0" w:rsidRPr="00746DC0" w:rsidRDefault="00746DC0" w:rsidP="00746DC0">
      <w:pPr>
        <w:spacing w:after="0" w:line="240" w:lineRule="auto"/>
        <w:jc w:val="both"/>
        <w:rPr>
          <w:rFonts w:ascii="Arial" w:eastAsia="Times New Roman" w:hAnsi="Arial" w:cs="Arial"/>
          <w:b/>
          <w:sz w:val="20"/>
          <w:szCs w:val="20"/>
          <w:lang w:eastAsia="es-ES"/>
        </w:rPr>
      </w:pPr>
    </w:p>
    <w:p w:rsidR="00746DC0" w:rsidRPr="00746DC0" w:rsidRDefault="00746DC0" w:rsidP="00746DC0">
      <w:pPr>
        <w:spacing w:after="0" w:line="240" w:lineRule="auto"/>
        <w:jc w:val="both"/>
        <w:rPr>
          <w:rFonts w:ascii="Arial" w:eastAsia="Times New Roman" w:hAnsi="Arial" w:cs="Arial"/>
          <w:sz w:val="20"/>
          <w:szCs w:val="20"/>
          <w:lang w:eastAsia="es-ES"/>
        </w:rPr>
      </w:pPr>
      <w:r w:rsidRPr="00746DC0">
        <w:rPr>
          <w:rFonts w:ascii="Arial" w:eastAsia="Times New Roman" w:hAnsi="Arial" w:cs="Arial"/>
          <w:sz w:val="20"/>
          <w:szCs w:val="20"/>
          <w:lang w:eastAsia="es-ES"/>
        </w:rPr>
        <w:t>Seguidamente se muestra un detalle de lo actuado:</w:t>
      </w:r>
    </w:p>
    <w:tbl>
      <w:tblPr>
        <w:tblW w:w="8938" w:type="dxa"/>
        <w:tblBorders>
          <w:insideH w:val="single" w:sz="6" w:space="0" w:color="000000"/>
          <w:insideV w:val="single" w:sz="6" w:space="0" w:color="000000"/>
        </w:tblBorders>
        <w:tblLook w:val="04A0" w:firstRow="1" w:lastRow="0" w:firstColumn="1" w:lastColumn="0" w:noHBand="0" w:noVBand="1"/>
      </w:tblPr>
      <w:tblGrid>
        <w:gridCol w:w="4215"/>
        <w:gridCol w:w="4723"/>
      </w:tblGrid>
      <w:tr w:rsidR="00746DC0" w:rsidRPr="000A5ABE" w:rsidTr="00746DC0">
        <w:trPr>
          <w:trHeight w:val="268"/>
        </w:trPr>
        <w:tc>
          <w:tcPr>
            <w:tcW w:w="5000" w:type="pct"/>
            <w:gridSpan w:val="2"/>
            <w:shd w:val="clear" w:color="auto" w:fill="auto"/>
            <w:noWrap/>
            <w:hideMark/>
          </w:tcPr>
          <w:p w:rsidR="00746DC0" w:rsidRPr="000A5ABE" w:rsidRDefault="00746DC0" w:rsidP="00746DC0">
            <w:pPr>
              <w:spacing w:after="0" w:line="240" w:lineRule="auto"/>
              <w:jc w:val="both"/>
              <w:rPr>
                <w:rFonts w:ascii="Arial" w:eastAsia="Times New Roman" w:hAnsi="Arial" w:cs="Arial"/>
                <w:b/>
                <w:sz w:val="18"/>
                <w:szCs w:val="18"/>
                <w:lang w:eastAsia="es-ES"/>
              </w:rPr>
            </w:pPr>
          </w:p>
          <w:p w:rsidR="00746DC0" w:rsidRPr="000A5ABE" w:rsidRDefault="00746DC0" w:rsidP="00746DC0">
            <w:pPr>
              <w:spacing w:after="0" w:line="240" w:lineRule="auto"/>
              <w:jc w:val="center"/>
              <w:rPr>
                <w:rFonts w:ascii="Arial" w:eastAsia="Times New Roman" w:hAnsi="Arial" w:cs="Arial"/>
                <w:b/>
                <w:sz w:val="18"/>
                <w:szCs w:val="18"/>
                <w:lang w:eastAsia="es-ES"/>
              </w:rPr>
            </w:pPr>
            <w:r w:rsidRPr="000A5ABE">
              <w:rPr>
                <w:rFonts w:ascii="Arial" w:eastAsia="Times New Roman" w:hAnsi="Arial" w:cs="Arial"/>
                <w:b/>
                <w:sz w:val="18"/>
                <w:szCs w:val="18"/>
                <w:lang w:eastAsia="es-ES"/>
              </w:rPr>
              <w:t>Tabla 14 Acciones Realizadas</w:t>
            </w:r>
          </w:p>
        </w:tc>
      </w:tr>
      <w:tr w:rsidR="00746DC0" w:rsidRPr="000A5ABE" w:rsidTr="00746DC0">
        <w:trPr>
          <w:trHeight w:val="820"/>
        </w:trPr>
        <w:tc>
          <w:tcPr>
            <w:tcW w:w="2358" w:type="pct"/>
            <w:shd w:val="clear" w:color="auto" w:fill="auto"/>
            <w:hideMark/>
          </w:tcPr>
          <w:p w:rsidR="00746DC0" w:rsidRPr="000A5ABE" w:rsidRDefault="00746DC0" w:rsidP="00746DC0">
            <w:pPr>
              <w:spacing w:after="0" w:line="240" w:lineRule="auto"/>
              <w:jc w:val="both"/>
              <w:rPr>
                <w:rFonts w:ascii="Arial" w:eastAsia="Times New Roman" w:hAnsi="Arial" w:cs="Arial"/>
                <w:b/>
                <w:sz w:val="18"/>
                <w:szCs w:val="18"/>
                <w:lang w:eastAsia="es-ES"/>
              </w:rPr>
            </w:pPr>
            <w:r w:rsidRPr="000A5ABE">
              <w:rPr>
                <w:rFonts w:ascii="Arial" w:eastAsia="Times New Roman" w:hAnsi="Arial" w:cs="Arial"/>
                <w:b/>
                <w:sz w:val="18"/>
                <w:szCs w:val="18"/>
                <w:lang w:eastAsia="es-ES"/>
              </w:rPr>
              <w:t>a) Actividades realizadas:</w:t>
            </w:r>
          </w:p>
        </w:tc>
        <w:tc>
          <w:tcPr>
            <w:tcW w:w="2642" w:type="pct"/>
            <w:shd w:val="clear" w:color="auto" w:fill="auto"/>
          </w:tcPr>
          <w:p w:rsidR="00746DC0" w:rsidRPr="000A5ABE" w:rsidRDefault="00746DC0" w:rsidP="00746DC0">
            <w:pPr>
              <w:spacing w:after="0" w:line="240" w:lineRule="auto"/>
              <w:jc w:val="both"/>
              <w:rPr>
                <w:rFonts w:ascii="Arial" w:eastAsia="Times New Roman" w:hAnsi="Arial" w:cs="Arial"/>
                <w:sz w:val="18"/>
                <w:szCs w:val="18"/>
                <w:lang w:eastAsia="es-ES"/>
              </w:rPr>
            </w:pPr>
            <w:r w:rsidRPr="000A5ABE">
              <w:rPr>
                <w:rFonts w:ascii="Arial" w:eastAsia="Times New Roman" w:hAnsi="Arial" w:cs="Arial"/>
                <w:sz w:val="18"/>
                <w:szCs w:val="18"/>
                <w:lang w:eastAsia="es-ES"/>
              </w:rPr>
              <w:t>Procedimiento seguido para las inspecciones:</w:t>
            </w:r>
          </w:p>
          <w:p w:rsidR="00746DC0" w:rsidRPr="000A5ABE" w:rsidRDefault="00746DC0" w:rsidP="00746DC0">
            <w:pPr>
              <w:spacing w:after="0" w:line="240" w:lineRule="auto"/>
              <w:jc w:val="both"/>
              <w:rPr>
                <w:rFonts w:ascii="Arial" w:eastAsia="Times New Roman" w:hAnsi="Arial" w:cs="Arial"/>
                <w:sz w:val="18"/>
                <w:szCs w:val="18"/>
                <w:lang w:eastAsia="es-ES"/>
              </w:rPr>
            </w:pPr>
            <w:r w:rsidRPr="000A5ABE">
              <w:rPr>
                <w:rFonts w:ascii="Arial" w:eastAsia="Times New Roman" w:hAnsi="Arial" w:cs="Arial"/>
                <w:sz w:val="18"/>
                <w:szCs w:val="18"/>
                <w:lang w:eastAsia="es-ES"/>
              </w:rPr>
              <w:t>- Programar las inspecciones de campo.</w:t>
            </w:r>
          </w:p>
          <w:p w:rsidR="00746DC0" w:rsidRPr="000A5ABE" w:rsidRDefault="00746DC0" w:rsidP="00746DC0">
            <w:pPr>
              <w:spacing w:after="0" w:line="240" w:lineRule="auto"/>
              <w:jc w:val="both"/>
              <w:rPr>
                <w:rFonts w:ascii="Arial" w:eastAsia="Times New Roman" w:hAnsi="Arial" w:cs="Arial"/>
                <w:sz w:val="18"/>
                <w:szCs w:val="18"/>
                <w:lang w:eastAsia="es-ES"/>
              </w:rPr>
            </w:pPr>
            <w:r w:rsidRPr="000A5ABE">
              <w:rPr>
                <w:rFonts w:ascii="Arial" w:eastAsia="Times New Roman" w:hAnsi="Arial" w:cs="Arial"/>
                <w:sz w:val="18"/>
                <w:szCs w:val="18"/>
                <w:lang w:eastAsia="es-ES"/>
              </w:rPr>
              <w:t xml:space="preserve">- Realizar la inspección a los planos generales de catastro y alineamientos, en un 100%. </w:t>
            </w:r>
          </w:p>
          <w:p w:rsidR="00746DC0" w:rsidRPr="000A5ABE" w:rsidRDefault="00746DC0" w:rsidP="00746DC0">
            <w:pPr>
              <w:spacing w:after="0" w:line="240" w:lineRule="auto"/>
              <w:jc w:val="both"/>
              <w:rPr>
                <w:rFonts w:ascii="Arial" w:eastAsia="Times New Roman" w:hAnsi="Arial" w:cs="Arial"/>
                <w:sz w:val="18"/>
                <w:szCs w:val="18"/>
                <w:lang w:eastAsia="es-ES"/>
              </w:rPr>
            </w:pPr>
            <w:r w:rsidRPr="000A5ABE">
              <w:rPr>
                <w:rFonts w:ascii="Arial" w:eastAsia="Times New Roman" w:hAnsi="Arial" w:cs="Arial"/>
                <w:sz w:val="18"/>
                <w:szCs w:val="18"/>
                <w:lang w:eastAsia="es-ES"/>
              </w:rPr>
              <w:t xml:space="preserve">- Verificar que el proyecto cumpla con los planos aprobados. </w:t>
            </w:r>
          </w:p>
          <w:p w:rsidR="00746DC0" w:rsidRPr="000A5ABE" w:rsidRDefault="00746DC0" w:rsidP="00746DC0">
            <w:pPr>
              <w:spacing w:after="0" w:line="240" w:lineRule="auto"/>
              <w:jc w:val="both"/>
              <w:rPr>
                <w:rFonts w:ascii="Arial" w:eastAsia="Times New Roman" w:hAnsi="Arial" w:cs="Arial"/>
                <w:sz w:val="18"/>
                <w:szCs w:val="18"/>
                <w:lang w:eastAsia="es-ES"/>
              </w:rPr>
            </w:pPr>
            <w:r w:rsidRPr="000A5ABE">
              <w:rPr>
                <w:rFonts w:ascii="Arial" w:eastAsia="Times New Roman" w:hAnsi="Arial" w:cs="Arial"/>
                <w:sz w:val="18"/>
                <w:szCs w:val="18"/>
                <w:lang w:eastAsia="es-ES"/>
              </w:rPr>
              <w:t>- Realizar el visado del plano, si el proyecto cumple.</w:t>
            </w:r>
          </w:p>
          <w:p w:rsidR="00746DC0" w:rsidRPr="000A5ABE" w:rsidRDefault="00746DC0" w:rsidP="00746DC0">
            <w:pPr>
              <w:spacing w:after="0" w:line="240" w:lineRule="auto"/>
              <w:jc w:val="both"/>
              <w:rPr>
                <w:rFonts w:ascii="Arial" w:eastAsia="Times New Roman" w:hAnsi="Arial" w:cs="Arial"/>
                <w:sz w:val="18"/>
                <w:szCs w:val="18"/>
                <w:lang w:eastAsia="es-ES"/>
              </w:rPr>
            </w:pPr>
            <w:r w:rsidRPr="000A5ABE">
              <w:rPr>
                <w:rFonts w:ascii="Arial" w:eastAsia="Times New Roman" w:hAnsi="Arial" w:cs="Arial"/>
                <w:sz w:val="18"/>
                <w:szCs w:val="18"/>
                <w:lang w:eastAsia="es-ES"/>
              </w:rPr>
              <w:t xml:space="preserve">- Informar al interesado mediante una boleta de rechazo, en caso de incumplimiento. </w:t>
            </w:r>
          </w:p>
        </w:tc>
      </w:tr>
      <w:tr w:rsidR="00746DC0" w:rsidRPr="000A5ABE" w:rsidTr="00746DC0">
        <w:trPr>
          <w:trHeight w:val="701"/>
        </w:trPr>
        <w:tc>
          <w:tcPr>
            <w:tcW w:w="2358" w:type="pct"/>
            <w:shd w:val="clear" w:color="auto" w:fill="auto"/>
            <w:hideMark/>
          </w:tcPr>
          <w:p w:rsidR="00746DC0" w:rsidRPr="000A5ABE" w:rsidRDefault="00746DC0" w:rsidP="00746DC0">
            <w:pPr>
              <w:spacing w:after="0" w:line="240" w:lineRule="auto"/>
              <w:jc w:val="both"/>
              <w:rPr>
                <w:rFonts w:ascii="Arial" w:eastAsia="Times New Roman" w:hAnsi="Arial" w:cs="Arial"/>
                <w:b/>
                <w:sz w:val="18"/>
                <w:szCs w:val="18"/>
                <w:lang w:eastAsia="es-ES"/>
              </w:rPr>
            </w:pPr>
            <w:r w:rsidRPr="000A5ABE">
              <w:rPr>
                <w:rFonts w:ascii="Arial" w:eastAsia="Times New Roman" w:hAnsi="Arial" w:cs="Arial"/>
                <w:b/>
                <w:sz w:val="18"/>
                <w:szCs w:val="18"/>
                <w:lang w:eastAsia="es-ES"/>
              </w:rPr>
              <w:t xml:space="preserve">b) Limitaciones: </w:t>
            </w:r>
          </w:p>
          <w:p w:rsidR="00746DC0" w:rsidRPr="000A5ABE" w:rsidRDefault="00746DC0" w:rsidP="00746DC0">
            <w:pPr>
              <w:spacing w:after="0" w:line="240" w:lineRule="auto"/>
              <w:jc w:val="both"/>
              <w:rPr>
                <w:rFonts w:ascii="Arial" w:eastAsia="Times New Roman" w:hAnsi="Arial" w:cs="Arial"/>
                <w:b/>
                <w:sz w:val="18"/>
                <w:szCs w:val="18"/>
                <w:lang w:eastAsia="es-ES"/>
              </w:rPr>
            </w:pPr>
          </w:p>
          <w:p w:rsidR="00746DC0" w:rsidRPr="000A5ABE" w:rsidRDefault="00746DC0" w:rsidP="00746DC0">
            <w:pPr>
              <w:spacing w:after="0" w:line="240" w:lineRule="auto"/>
              <w:jc w:val="both"/>
              <w:rPr>
                <w:rFonts w:ascii="Arial" w:eastAsia="Times New Roman" w:hAnsi="Arial" w:cs="Arial"/>
                <w:b/>
                <w:sz w:val="18"/>
                <w:szCs w:val="18"/>
                <w:lang w:eastAsia="es-ES"/>
              </w:rPr>
            </w:pPr>
          </w:p>
        </w:tc>
        <w:tc>
          <w:tcPr>
            <w:tcW w:w="2642" w:type="pct"/>
            <w:shd w:val="clear" w:color="auto" w:fill="auto"/>
          </w:tcPr>
          <w:p w:rsidR="00746DC0" w:rsidRPr="000A5ABE" w:rsidRDefault="00746DC0" w:rsidP="00746DC0">
            <w:pPr>
              <w:spacing w:after="0" w:line="240" w:lineRule="auto"/>
              <w:jc w:val="both"/>
              <w:rPr>
                <w:rFonts w:ascii="Arial" w:eastAsia="Times New Roman" w:hAnsi="Arial" w:cs="Arial"/>
                <w:sz w:val="18"/>
                <w:szCs w:val="18"/>
                <w:lang w:eastAsia="es-ES"/>
              </w:rPr>
            </w:pPr>
            <w:r w:rsidRPr="000A5ABE">
              <w:rPr>
                <w:rFonts w:ascii="Arial" w:eastAsia="Times New Roman" w:hAnsi="Arial" w:cs="Arial"/>
                <w:sz w:val="18"/>
                <w:szCs w:val="18"/>
                <w:lang w:eastAsia="es-ES"/>
              </w:rPr>
              <w:t>- No se cuenta con el personal necesario para llevar a cabo las inspecciones de campo, para  condominios.</w:t>
            </w:r>
          </w:p>
        </w:tc>
      </w:tr>
      <w:tr w:rsidR="00746DC0" w:rsidRPr="000A5ABE" w:rsidTr="00746DC0">
        <w:trPr>
          <w:trHeight w:val="686"/>
        </w:trPr>
        <w:tc>
          <w:tcPr>
            <w:tcW w:w="2358" w:type="pct"/>
            <w:shd w:val="clear" w:color="auto" w:fill="auto"/>
            <w:hideMark/>
          </w:tcPr>
          <w:p w:rsidR="00746DC0" w:rsidRPr="000A5ABE" w:rsidRDefault="00746DC0" w:rsidP="00746DC0">
            <w:pPr>
              <w:spacing w:after="0" w:line="240" w:lineRule="auto"/>
              <w:jc w:val="both"/>
              <w:rPr>
                <w:rFonts w:ascii="Arial" w:eastAsia="Times New Roman" w:hAnsi="Arial" w:cs="Arial"/>
                <w:b/>
                <w:sz w:val="18"/>
                <w:szCs w:val="18"/>
                <w:lang w:eastAsia="es-ES"/>
              </w:rPr>
            </w:pPr>
            <w:r w:rsidRPr="000A5ABE">
              <w:rPr>
                <w:rFonts w:ascii="Arial" w:eastAsia="Times New Roman" w:hAnsi="Arial" w:cs="Arial"/>
                <w:b/>
                <w:sz w:val="18"/>
                <w:szCs w:val="18"/>
                <w:lang w:eastAsia="es-ES"/>
              </w:rPr>
              <w:t>c) Medidas correctivas o acciones de mejora (realizadas y por realizar) para el logro de la meta:</w:t>
            </w:r>
          </w:p>
        </w:tc>
        <w:tc>
          <w:tcPr>
            <w:tcW w:w="2642" w:type="pct"/>
            <w:shd w:val="clear" w:color="auto" w:fill="auto"/>
          </w:tcPr>
          <w:p w:rsidR="00746DC0" w:rsidRPr="000A5ABE" w:rsidRDefault="00746DC0" w:rsidP="00746DC0">
            <w:pPr>
              <w:spacing w:after="0" w:line="240" w:lineRule="auto"/>
              <w:jc w:val="both"/>
              <w:rPr>
                <w:rFonts w:ascii="Arial" w:eastAsia="Times New Roman" w:hAnsi="Arial" w:cs="Arial"/>
                <w:sz w:val="18"/>
                <w:szCs w:val="18"/>
                <w:lang w:eastAsia="es-ES"/>
              </w:rPr>
            </w:pPr>
            <w:r w:rsidRPr="000A5ABE">
              <w:rPr>
                <w:rFonts w:ascii="Arial" w:eastAsia="Times New Roman" w:hAnsi="Arial" w:cs="Arial"/>
                <w:sz w:val="18"/>
                <w:szCs w:val="18"/>
                <w:lang w:eastAsia="es-ES"/>
              </w:rPr>
              <w:t>Ajustar los supuestos que respaldan la estimación de la meta, de acuerdo con los recursos disponibles y los datos reales</w:t>
            </w:r>
          </w:p>
        </w:tc>
      </w:tr>
      <w:tr w:rsidR="00746DC0" w:rsidRPr="000A5ABE" w:rsidTr="00746DC0">
        <w:trPr>
          <w:trHeight w:val="845"/>
        </w:trPr>
        <w:tc>
          <w:tcPr>
            <w:tcW w:w="2358" w:type="pct"/>
            <w:shd w:val="clear" w:color="auto" w:fill="auto"/>
          </w:tcPr>
          <w:p w:rsidR="00746DC0" w:rsidRPr="000A5ABE" w:rsidRDefault="00746DC0" w:rsidP="00746DC0">
            <w:pPr>
              <w:spacing w:after="0" w:line="240" w:lineRule="auto"/>
              <w:jc w:val="both"/>
              <w:rPr>
                <w:rFonts w:ascii="Arial" w:eastAsia="Times New Roman" w:hAnsi="Arial" w:cs="Arial"/>
                <w:b/>
                <w:sz w:val="18"/>
                <w:szCs w:val="18"/>
                <w:lang w:eastAsia="es-ES"/>
              </w:rPr>
            </w:pPr>
            <w:r w:rsidRPr="000A5ABE">
              <w:rPr>
                <w:rFonts w:ascii="Arial" w:eastAsia="Times New Roman" w:hAnsi="Arial" w:cs="Arial"/>
                <w:b/>
                <w:sz w:val="18"/>
                <w:szCs w:val="18"/>
                <w:lang w:eastAsia="es-ES"/>
              </w:rPr>
              <w:t>Observaciones:</w:t>
            </w:r>
          </w:p>
        </w:tc>
        <w:tc>
          <w:tcPr>
            <w:tcW w:w="2642" w:type="pct"/>
            <w:shd w:val="clear" w:color="auto" w:fill="auto"/>
          </w:tcPr>
          <w:p w:rsidR="00746DC0" w:rsidRPr="000A5ABE" w:rsidRDefault="00746DC0" w:rsidP="00746DC0">
            <w:pPr>
              <w:spacing w:after="0" w:line="240" w:lineRule="auto"/>
              <w:jc w:val="both"/>
              <w:rPr>
                <w:rFonts w:ascii="Arial" w:eastAsia="Times New Roman" w:hAnsi="Arial" w:cs="Arial"/>
                <w:sz w:val="18"/>
                <w:szCs w:val="18"/>
                <w:lang w:eastAsia="es-ES"/>
              </w:rPr>
            </w:pPr>
            <w:r w:rsidRPr="000A5ABE">
              <w:rPr>
                <w:rFonts w:ascii="Arial" w:eastAsia="Times New Roman" w:hAnsi="Arial" w:cs="Arial"/>
                <w:sz w:val="18"/>
                <w:szCs w:val="18"/>
                <w:lang w:eastAsia="es-ES"/>
              </w:rPr>
              <w:t>- Esta labor es muy importante para verificar el cumplimiento de lo que se revisa y aprueba.</w:t>
            </w:r>
          </w:p>
          <w:p w:rsidR="00746DC0" w:rsidRPr="000A5ABE" w:rsidRDefault="00746DC0" w:rsidP="00746DC0">
            <w:pPr>
              <w:spacing w:after="0" w:line="240" w:lineRule="auto"/>
              <w:jc w:val="both"/>
              <w:rPr>
                <w:rFonts w:ascii="Arial" w:eastAsia="Times New Roman" w:hAnsi="Arial" w:cs="Arial"/>
                <w:sz w:val="18"/>
                <w:szCs w:val="18"/>
                <w:lang w:eastAsia="es-ES"/>
              </w:rPr>
            </w:pPr>
            <w:r w:rsidRPr="000A5ABE">
              <w:rPr>
                <w:rFonts w:ascii="Arial" w:eastAsia="Times New Roman" w:hAnsi="Arial" w:cs="Arial"/>
                <w:sz w:val="18"/>
                <w:szCs w:val="18"/>
                <w:lang w:eastAsia="es-ES"/>
              </w:rPr>
              <w:t xml:space="preserve">- Para el caso de urbanizaciones y conjuntos residenciales, se realizan las inspecciones a la totalidad de los planos generales de catastro, ya que el INVU refrenda las obras construidas.                                                                                                                                                                                                                    </w:t>
            </w:r>
          </w:p>
          <w:p w:rsidR="00746DC0" w:rsidRPr="000A5ABE" w:rsidRDefault="00746DC0" w:rsidP="00746DC0">
            <w:pPr>
              <w:spacing w:after="0" w:line="240" w:lineRule="auto"/>
              <w:jc w:val="both"/>
              <w:rPr>
                <w:rFonts w:ascii="Arial" w:eastAsia="Times New Roman" w:hAnsi="Arial" w:cs="Arial"/>
                <w:sz w:val="18"/>
                <w:szCs w:val="18"/>
                <w:lang w:eastAsia="es-ES"/>
              </w:rPr>
            </w:pPr>
          </w:p>
        </w:tc>
      </w:tr>
    </w:tbl>
    <w:p w:rsidR="00746DC0" w:rsidRPr="000A5ABE" w:rsidRDefault="00746DC0" w:rsidP="00746DC0">
      <w:pPr>
        <w:spacing w:after="0" w:line="240" w:lineRule="auto"/>
        <w:jc w:val="both"/>
        <w:rPr>
          <w:rFonts w:ascii="Arial" w:eastAsia="Times New Roman" w:hAnsi="Arial" w:cs="Arial"/>
          <w:sz w:val="18"/>
          <w:szCs w:val="18"/>
          <w:lang w:eastAsia="es-ES"/>
        </w:rPr>
      </w:pPr>
      <w:r w:rsidRPr="000A5ABE">
        <w:rPr>
          <w:rFonts w:ascii="Arial" w:eastAsia="Times New Roman" w:hAnsi="Arial" w:cs="Arial"/>
          <w:sz w:val="18"/>
          <w:szCs w:val="18"/>
          <w:lang w:eastAsia="es-ES"/>
        </w:rPr>
        <w:t>Nota Fuente: Informe de rendimiento de cuentas de área. (2017)</w:t>
      </w:r>
    </w:p>
    <w:p w:rsidR="00746DC0" w:rsidRPr="00746DC0" w:rsidRDefault="00DA62C0" w:rsidP="00746DC0">
      <w:pPr>
        <w:pStyle w:val="Ttulo2"/>
        <w:keepLines w:val="0"/>
        <w:spacing w:before="240" w:after="60" w:line="240" w:lineRule="auto"/>
        <w:rPr>
          <w:rFonts w:ascii="Arial" w:eastAsia="Times New Roman" w:hAnsi="Arial" w:cs="Arial"/>
          <w:bCs w:val="0"/>
          <w:color w:val="auto"/>
          <w:sz w:val="20"/>
          <w:szCs w:val="20"/>
          <w:lang w:eastAsia="es-ES"/>
        </w:rPr>
      </w:pPr>
      <w:r>
        <w:rPr>
          <w:rFonts w:ascii="Arial" w:eastAsia="Times New Roman" w:hAnsi="Arial" w:cs="Arial"/>
          <w:sz w:val="20"/>
          <w:szCs w:val="20"/>
          <w:lang w:val="es-ES" w:eastAsia="es-ES"/>
        </w:rPr>
        <w:br w:type="page"/>
      </w:r>
      <w:r w:rsidR="00746DC0" w:rsidRPr="00746DC0">
        <w:rPr>
          <w:rFonts w:ascii="Arial" w:eastAsia="Times New Roman" w:hAnsi="Arial" w:cs="Arial"/>
          <w:bCs w:val="0"/>
          <w:color w:val="auto"/>
          <w:sz w:val="20"/>
          <w:szCs w:val="20"/>
          <w:lang w:eastAsia="es-ES"/>
        </w:rPr>
        <w:lastRenderedPageBreak/>
        <w:t>Servicio N°3 Asesoría a municipalidades, instituciones públicas, instituciones privadas y público en general</w:t>
      </w:r>
    </w:p>
    <w:p w:rsidR="00746DC0" w:rsidRDefault="00746DC0" w:rsidP="00746DC0">
      <w:pPr>
        <w:pStyle w:val="Ttulo2"/>
        <w:keepLines w:val="0"/>
        <w:spacing w:before="240" w:after="60" w:line="240" w:lineRule="auto"/>
        <w:jc w:val="both"/>
        <w:rPr>
          <w:rFonts w:ascii="Arial" w:eastAsia="Times New Roman" w:hAnsi="Arial" w:cs="Arial"/>
          <w:b w:val="0"/>
          <w:bCs w:val="0"/>
          <w:color w:val="auto"/>
          <w:sz w:val="20"/>
          <w:szCs w:val="20"/>
          <w:lang w:eastAsia="es-ES"/>
        </w:rPr>
      </w:pPr>
      <w:r w:rsidRPr="00746DC0">
        <w:rPr>
          <w:rFonts w:ascii="Arial" w:eastAsia="Times New Roman" w:hAnsi="Arial" w:cs="Arial"/>
          <w:b w:val="0"/>
          <w:bCs w:val="0"/>
          <w:color w:val="auto"/>
          <w:sz w:val="20"/>
          <w:szCs w:val="20"/>
          <w:lang w:eastAsia="es-ES"/>
        </w:rPr>
        <w:t xml:space="preserve">El otro servicio que otorga la Dirección de Urbanismo, es el Servicio de asesoría y asistencia en materia de ordenamiento territorial, el cual da cumplimiento a la Ley de Planificación Urbana, artículo 7, inciso 3, asesorar y prestar asistencia técnica a las municipalidades y a los demás organismos públicos dedicados a la planificación, en todo cuanto convenga al establecimiento o fomento de esta disciplina. </w:t>
      </w:r>
    </w:p>
    <w:p w:rsidR="000A5ABE" w:rsidRDefault="000A5ABE" w:rsidP="00746DC0">
      <w:pPr>
        <w:pStyle w:val="Ttulo2"/>
        <w:keepLines w:val="0"/>
        <w:spacing w:before="240" w:after="60" w:line="240" w:lineRule="auto"/>
        <w:rPr>
          <w:rFonts w:ascii="Arial" w:eastAsia="Times New Roman" w:hAnsi="Arial" w:cs="Arial"/>
          <w:bCs w:val="0"/>
          <w:color w:val="auto"/>
          <w:sz w:val="20"/>
          <w:szCs w:val="20"/>
          <w:lang w:eastAsia="es-ES"/>
        </w:rPr>
      </w:pPr>
    </w:p>
    <w:p w:rsidR="00746DC0" w:rsidRPr="00746DC0" w:rsidRDefault="00746DC0" w:rsidP="00746DC0">
      <w:pPr>
        <w:pStyle w:val="Ttulo2"/>
        <w:keepLines w:val="0"/>
        <w:spacing w:before="240" w:after="60" w:line="240" w:lineRule="auto"/>
        <w:rPr>
          <w:rFonts w:ascii="Arial" w:eastAsia="Times New Roman" w:hAnsi="Arial" w:cs="Arial"/>
          <w:bCs w:val="0"/>
          <w:color w:val="auto"/>
          <w:sz w:val="20"/>
          <w:szCs w:val="20"/>
          <w:lang w:eastAsia="es-ES"/>
        </w:rPr>
      </w:pPr>
      <w:r w:rsidRPr="00746DC0">
        <w:rPr>
          <w:rFonts w:ascii="Arial" w:eastAsia="Times New Roman" w:hAnsi="Arial" w:cs="Arial"/>
          <w:bCs w:val="0"/>
          <w:color w:val="auto"/>
          <w:sz w:val="20"/>
          <w:szCs w:val="20"/>
          <w:lang w:eastAsia="es-ES"/>
        </w:rPr>
        <w:t>Indicador N°16 Número de documentos elaborados en materia reglamentaria, según las competencias indicadas en la Ley de Planificación Urbana</w:t>
      </w:r>
    </w:p>
    <w:p w:rsidR="00746DC0" w:rsidRPr="00002CCC" w:rsidRDefault="00746DC0" w:rsidP="00002CCC">
      <w:pPr>
        <w:pStyle w:val="Ttulo2"/>
        <w:keepLines w:val="0"/>
        <w:spacing w:before="240" w:after="60" w:line="240" w:lineRule="auto"/>
        <w:jc w:val="both"/>
        <w:rPr>
          <w:rFonts w:ascii="Arial" w:eastAsia="Times New Roman" w:hAnsi="Arial" w:cs="Arial"/>
          <w:b w:val="0"/>
          <w:bCs w:val="0"/>
          <w:color w:val="auto"/>
          <w:sz w:val="20"/>
          <w:szCs w:val="20"/>
          <w:lang w:eastAsia="es-ES"/>
        </w:rPr>
      </w:pPr>
      <w:r w:rsidRPr="00002CCC">
        <w:rPr>
          <w:rFonts w:ascii="Arial" w:eastAsia="Times New Roman" w:hAnsi="Arial" w:cs="Arial"/>
          <w:b w:val="0"/>
          <w:bCs w:val="0"/>
          <w:color w:val="auto"/>
          <w:sz w:val="20"/>
          <w:szCs w:val="20"/>
          <w:lang w:eastAsia="es-ES"/>
        </w:rPr>
        <w:t>A diciembre se elaboraron dos documentos, el Reglamento de Renovación Urbana y el Manual de Planes Reguladores de Ordenamiento Territorial Local. La meta anual se cumplió en un 100%.</w:t>
      </w:r>
    </w:p>
    <w:tbl>
      <w:tblPr>
        <w:tblW w:w="5167" w:type="pct"/>
        <w:tblBorders>
          <w:insideH w:val="single" w:sz="6" w:space="0" w:color="000000"/>
          <w:insideV w:val="single" w:sz="6" w:space="0" w:color="000000"/>
        </w:tblBorders>
        <w:tblLook w:val="04A0" w:firstRow="1" w:lastRow="0" w:firstColumn="1" w:lastColumn="0" w:noHBand="0" w:noVBand="1"/>
      </w:tblPr>
      <w:tblGrid>
        <w:gridCol w:w="9356"/>
      </w:tblGrid>
      <w:tr w:rsidR="00746DC0" w:rsidRPr="00746DC0" w:rsidTr="00002CCC">
        <w:trPr>
          <w:trHeight w:val="271"/>
        </w:trPr>
        <w:tc>
          <w:tcPr>
            <w:tcW w:w="5000" w:type="pct"/>
            <w:shd w:val="clear" w:color="auto" w:fill="auto"/>
            <w:noWrap/>
            <w:hideMark/>
          </w:tcPr>
          <w:tbl>
            <w:tblPr>
              <w:tblW w:w="9140" w:type="dxa"/>
              <w:tblBorders>
                <w:insideH w:val="single" w:sz="6" w:space="0" w:color="000000"/>
                <w:insideV w:val="single" w:sz="6" w:space="0" w:color="000000"/>
              </w:tblBorders>
              <w:tblLook w:val="04A0" w:firstRow="1" w:lastRow="0" w:firstColumn="1" w:lastColumn="0" w:noHBand="0" w:noVBand="1"/>
            </w:tblPr>
            <w:tblGrid>
              <w:gridCol w:w="4310"/>
              <w:gridCol w:w="4830"/>
            </w:tblGrid>
            <w:tr w:rsidR="00746DC0" w:rsidRPr="00002CCC" w:rsidTr="00746DC0">
              <w:trPr>
                <w:trHeight w:val="262"/>
              </w:trPr>
              <w:tc>
                <w:tcPr>
                  <w:tcW w:w="5000" w:type="pct"/>
                  <w:gridSpan w:val="2"/>
                  <w:shd w:val="clear" w:color="auto" w:fill="auto"/>
                  <w:noWrap/>
                  <w:hideMark/>
                </w:tcPr>
                <w:p w:rsidR="00746DC0" w:rsidRPr="00002CCC" w:rsidRDefault="00746DC0" w:rsidP="00002CCC">
                  <w:pPr>
                    <w:spacing w:after="0" w:line="240" w:lineRule="auto"/>
                    <w:rPr>
                      <w:rFonts w:ascii="Arial" w:eastAsia="Times New Roman" w:hAnsi="Arial" w:cs="Arial"/>
                      <w:b/>
                      <w:sz w:val="20"/>
                      <w:szCs w:val="20"/>
                      <w:lang w:eastAsia="es-ES"/>
                    </w:rPr>
                  </w:pPr>
                </w:p>
                <w:p w:rsidR="00746DC0" w:rsidRPr="00002CCC" w:rsidRDefault="00746DC0" w:rsidP="00002CCC">
                  <w:pPr>
                    <w:spacing w:after="0" w:line="240" w:lineRule="auto"/>
                    <w:jc w:val="center"/>
                    <w:rPr>
                      <w:rFonts w:ascii="Arial" w:eastAsia="Times New Roman" w:hAnsi="Arial" w:cs="Arial"/>
                      <w:b/>
                      <w:sz w:val="20"/>
                      <w:szCs w:val="20"/>
                      <w:lang w:eastAsia="es-ES"/>
                    </w:rPr>
                  </w:pPr>
                  <w:r w:rsidRPr="00002CCC">
                    <w:rPr>
                      <w:rFonts w:ascii="Arial" w:eastAsia="Times New Roman" w:hAnsi="Arial" w:cs="Arial"/>
                      <w:b/>
                      <w:sz w:val="20"/>
                      <w:szCs w:val="20"/>
                      <w:lang w:eastAsia="es-ES"/>
                    </w:rPr>
                    <w:t>Tabla 15 Acciones Realizadas</w:t>
                  </w:r>
                </w:p>
              </w:tc>
            </w:tr>
            <w:tr w:rsidR="00746DC0" w:rsidRPr="00002CCC" w:rsidTr="00746DC0">
              <w:trPr>
                <w:trHeight w:val="802"/>
              </w:trPr>
              <w:tc>
                <w:tcPr>
                  <w:tcW w:w="2358" w:type="pct"/>
                  <w:shd w:val="clear" w:color="auto" w:fill="auto"/>
                  <w:hideMark/>
                </w:tcPr>
                <w:p w:rsidR="00746DC0" w:rsidRPr="00002CCC" w:rsidRDefault="00746DC0" w:rsidP="00002CCC">
                  <w:pPr>
                    <w:spacing w:after="0" w:line="240" w:lineRule="auto"/>
                    <w:rPr>
                      <w:rFonts w:ascii="Times New Roman" w:eastAsia="Times New Roman" w:hAnsi="Times New Roman"/>
                      <w:sz w:val="20"/>
                      <w:szCs w:val="20"/>
                      <w:lang w:eastAsia="es-ES"/>
                    </w:rPr>
                  </w:pPr>
                  <w:r w:rsidRPr="00002CCC">
                    <w:rPr>
                      <w:rFonts w:ascii="Times New Roman" w:eastAsia="Times New Roman" w:hAnsi="Times New Roman"/>
                      <w:sz w:val="20"/>
                      <w:szCs w:val="20"/>
                      <w:lang w:eastAsia="es-ES"/>
                    </w:rPr>
                    <w:t>a) Actividades realizadas:</w:t>
                  </w:r>
                </w:p>
              </w:tc>
              <w:tc>
                <w:tcPr>
                  <w:tcW w:w="2642" w:type="pct"/>
                  <w:shd w:val="clear" w:color="auto" w:fill="auto"/>
                </w:tcPr>
                <w:p w:rsidR="00746DC0" w:rsidRPr="00002CCC" w:rsidRDefault="00746DC0" w:rsidP="00002CCC">
                  <w:pPr>
                    <w:spacing w:after="0" w:line="240" w:lineRule="auto"/>
                    <w:jc w:val="both"/>
                    <w:rPr>
                      <w:rFonts w:ascii="Arial" w:eastAsia="Times New Roman" w:hAnsi="Arial" w:cs="Arial"/>
                      <w:b/>
                      <w:sz w:val="20"/>
                      <w:szCs w:val="20"/>
                      <w:lang w:eastAsia="es-ES"/>
                    </w:rPr>
                  </w:pPr>
                  <w:r w:rsidRPr="00002CCC">
                    <w:rPr>
                      <w:rFonts w:ascii="Arial" w:eastAsia="Times New Roman" w:hAnsi="Arial" w:cs="Arial"/>
                      <w:sz w:val="20"/>
                      <w:szCs w:val="20"/>
                      <w:lang w:eastAsia="es-ES"/>
                    </w:rPr>
                    <w:t xml:space="preserve">1) </w:t>
                  </w:r>
                  <w:r w:rsidRPr="00002CCC">
                    <w:rPr>
                      <w:rFonts w:ascii="Arial" w:eastAsia="Times New Roman" w:hAnsi="Arial" w:cs="Arial"/>
                      <w:b/>
                      <w:sz w:val="20"/>
                      <w:szCs w:val="20"/>
                      <w:lang w:eastAsia="es-ES"/>
                    </w:rPr>
                    <w:t xml:space="preserve">Reglamento de Renovación Urbana </w:t>
                  </w:r>
                </w:p>
                <w:p w:rsidR="00746DC0" w:rsidRPr="00002CCC" w:rsidRDefault="00746DC0" w:rsidP="00002CCC">
                  <w:pPr>
                    <w:spacing w:after="0" w:line="240" w:lineRule="auto"/>
                    <w:jc w:val="both"/>
                    <w:rPr>
                      <w:rFonts w:ascii="Arial" w:eastAsia="Times New Roman" w:hAnsi="Arial" w:cs="Arial"/>
                      <w:sz w:val="20"/>
                      <w:szCs w:val="20"/>
                      <w:lang w:eastAsia="es-ES"/>
                    </w:rPr>
                  </w:pPr>
                  <w:r w:rsidRPr="00002CCC">
                    <w:rPr>
                      <w:rFonts w:ascii="Arial" w:eastAsia="Times New Roman" w:hAnsi="Arial" w:cs="Arial"/>
                      <w:sz w:val="20"/>
                      <w:szCs w:val="20"/>
                      <w:lang w:eastAsia="es-ES"/>
                    </w:rPr>
                    <w:t>- Se elaboró un resumen del Reglamento para ser impreso y entregarlo en las capacitaciones con los gobiernos locales..</w:t>
                  </w:r>
                </w:p>
                <w:p w:rsidR="00746DC0" w:rsidRPr="00002CCC" w:rsidRDefault="00746DC0" w:rsidP="00002CCC">
                  <w:pPr>
                    <w:spacing w:after="0" w:line="240" w:lineRule="auto"/>
                    <w:jc w:val="both"/>
                    <w:rPr>
                      <w:rFonts w:ascii="Arial" w:eastAsia="Times New Roman" w:hAnsi="Arial" w:cs="Arial"/>
                      <w:sz w:val="20"/>
                      <w:szCs w:val="20"/>
                      <w:lang w:eastAsia="es-ES"/>
                    </w:rPr>
                  </w:pPr>
                </w:p>
                <w:p w:rsidR="00746DC0" w:rsidRPr="00002CCC" w:rsidRDefault="00746DC0" w:rsidP="00002CCC">
                  <w:pPr>
                    <w:spacing w:after="0" w:line="240" w:lineRule="auto"/>
                    <w:jc w:val="both"/>
                    <w:rPr>
                      <w:rFonts w:ascii="Arial" w:eastAsia="Times New Roman" w:hAnsi="Arial" w:cs="Arial"/>
                      <w:b/>
                      <w:sz w:val="20"/>
                      <w:szCs w:val="20"/>
                      <w:lang w:eastAsia="es-ES"/>
                    </w:rPr>
                  </w:pPr>
                  <w:r w:rsidRPr="00002CCC">
                    <w:rPr>
                      <w:rFonts w:ascii="Arial" w:eastAsia="Times New Roman" w:hAnsi="Arial" w:cs="Arial"/>
                      <w:sz w:val="20"/>
                      <w:szCs w:val="20"/>
                      <w:lang w:eastAsia="es-ES"/>
                    </w:rPr>
                    <w:t xml:space="preserve">2) </w:t>
                  </w:r>
                  <w:r w:rsidRPr="00002CCC">
                    <w:rPr>
                      <w:rFonts w:ascii="Arial" w:eastAsia="Times New Roman" w:hAnsi="Arial" w:cs="Arial"/>
                      <w:b/>
                      <w:sz w:val="20"/>
                      <w:szCs w:val="20"/>
                      <w:lang w:eastAsia="es-ES"/>
                    </w:rPr>
                    <w:t>Manual de Planes Reguladores de Ordenamiento Territorial Local</w:t>
                  </w:r>
                </w:p>
                <w:p w:rsidR="00746DC0" w:rsidRPr="00002CCC" w:rsidRDefault="00746DC0" w:rsidP="00002CCC">
                  <w:pPr>
                    <w:spacing w:after="0" w:line="240" w:lineRule="auto"/>
                    <w:jc w:val="both"/>
                    <w:rPr>
                      <w:rFonts w:ascii="Arial" w:eastAsia="Times New Roman" w:hAnsi="Arial" w:cs="Arial"/>
                      <w:sz w:val="20"/>
                      <w:szCs w:val="20"/>
                      <w:lang w:eastAsia="es-ES"/>
                    </w:rPr>
                  </w:pPr>
                  <w:r w:rsidRPr="00002CCC">
                    <w:rPr>
                      <w:rFonts w:ascii="Arial" w:eastAsia="Times New Roman" w:hAnsi="Arial" w:cs="Arial"/>
                      <w:sz w:val="20"/>
                      <w:szCs w:val="20"/>
                      <w:lang w:eastAsia="es-ES"/>
                    </w:rPr>
                    <w:t xml:space="preserve">- Se elaboró el documento final, que será enviado a publicar para brindar las capacitaciones a los gobiernos locales. </w:t>
                  </w:r>
                </w:p>
                <w:p w:rsidR="00746DC0" w:rsidRPr="00002CCC" w:rsidRDefault="00746DC0" w:rsidP="00002CCC">
                  <w:pPr>
                    <w:spacing w:after="0" w:line="240" w:lineRule="auto"/>
                    <w:jc w:val="both"/>
                    <w:rPr>
                      <w:rFonts w:ascii="Arial" w:eastAsia="Times New Roman" w:hAnsi="Arial" w:cs="Arial"/>
                      <w:sz w:val="20"/>
                      <w:szCs w:val="20"/>
                      <w:lang w:eastAsia="es-ES"/>
                    </w:rPr>
                  </w:pPr>
                </w:p>
              </w:tc>
            </w:tr>
            <w:tr w:rsidR="00746DC0" w:rsidRPr="00002CCC" w:rsidTr="00746DC0">
              <w:trPr>
                <w:trHeight w:val="685"/>
              </w:trPr>
              <w:tc>
                <w:tcPr>
                  <w:tcW w:w="2358" w:type="pct"/>
                  <w:shd w:val="clear" w:color="auto" w:fill="auto"/>
                  <w:hideMark/>
                </w:tcPr>
                <w:p w:rsidR="00746DC0" w:rsidRPr="00002CCC" w:rsidRDefault="00746DC0" w:rsidP="00002CCC">
                  <w:pPr>
                    <w:spacing w:after="0" w:line="240" w:lineRule="auto"/>
                    <w:rPr>
                      <w:rFonts w:ascii="Times New Roman" w:eastAsia="Times New Roman" w:hAnsi="Times New Roman"/>
                      <w:sz w:val="20"/>
                      <w:szCs w:val="20"/>
                      <w:lang w:eastAsia="es-ES"/>
                    </w:rPr>
                  </w:pPr>
                  <w:r w:rsidRPr="00002CCC">
                    <w:rPr>
                      <w:rFonts w:ascii="Times New Roman" w:eastAsia="Times New Roman" w:hAnsi="Times New Roman"/>
                      <w:sz w:val="20"/>
                      <w:szCs w:val="20"/>
                      <w:lang w:eastAsia="es-ES"/>
                    </w:rPr>
                    <w:t xml:space="preserve">b) Limitaciones: </w:t>
                  </w:r>
                </w:p>
              </w:tc>
              <w:tc>
                <w:tcPr>
                  <w:tcW w:w="2642" w:type="pct"/>
                  <w:shd w:val="clear" w:color="auto" w:fill="auto"/>
                </w:tcPr>
                <w:p w:rsidR="00746DC0" w:rsidRPr="00002CCC" w:rsidRDefault="00746DC0" w:rsidP="00002CCC">
                  <w:pPr>
                    <w:spacing w:after="0" w:line="240" w:lineRule="auto"/>
                    <w:jc w:val="both"/>
                    <w:rPr>
                      <w:rFonts w:ascii="Arial" w:eastAsia="Times New Roman" w:hAnsi="Arial" w:cs="Arial"/>
                      <w:sz w:val="20"/>
                      <w:szCs w:val="20"/>
                      <w:lang w:eastAsia="es-ES"/>
                    </w:rPr>
                  </w:pPr>
                </w:p>
                <w:p w:rsidR="00746DC0" w:rsidRPr="00002CCC" w:rsidRDefault="00746DC0" w:rsidP="00002CCC">
                  <w:pPr>
                    <w:spacing w:after="0" w:line="240" w:lineRule="auto"/>
                    <w:jc w:val="both"/>
                    <w:rPr>
                      <w:rFonts w:ascii="Arial" w:eastAsia="Times New Roman" w:hAnsi="Arial" w:cs="Arial"/>
                      <w:sz w:val="20"/>
                      <w:szCs w:val="20"/>
                      <w:lang w:eastAsia="es-ES"/>
                    </w:rPr>
                  </w:pPr>
                </w:p>
              </w:tc>
            </w:tr>
            <w:tr w:rsidR="00746DC0" w:rsidRPr="00002CCC" w:rsidTr="00746DC0">
              <w:trPr>
                <w:trHeight w:val="734"/>
              </w:trPr>
              <w:tc>
                <w:tcPr>
                  <w:tcW w:w="2358" w:type="pct"/>
                  <w:shd w:val="clear" w:color="auto" w:fill="auto"/>
                  <w:hideMark/>
                </w:tcPr>
                <w:p w:rsidR="00746DC0" w:rsidRPr="00002CCC" w:rsidRDefault="00746DC0" w:rsidP="00002CCC">
                  <w:pPr>
                    <w:spacing w:after="0" w:line="240" w:lineRule="auto"/>
                    <w:rPr>
                      <w:rFonts w:ascii="Times New Roman" w:eastAsia="Times New Roman" w:hAnsi="Times New Roman"/>
                      <w:sz w:val="20"/>
                      <w:szCs w:val="20"/>
                      <w:lang w:eastAsia="es-ES"/>
                    </w:rPr>
                  </w:pPr>
                  <w:r w:rsidRPr="00002CCC">
                    <w:rPr>
                      <w:rFonts w:ascii="Times New Roman" w:eastAsia="Times New Roman" w:hAnsi="Times New Roman"/>
                      <w:sz w:val="20"/>
                      <w:szCs w:val="20"/>
                      <w:lang w:eastAsia="es-ES"/>
                    </w:rPr>
                    <w:t>c) Medidas correctivas o acciones de mejora (realizadas y por realizar) para el logro de la meta:</w:t>
                  </w:r>
                </w:p>
              </w:tc>
              <w:tc>
                <w:tcPr>
                  <w:tcW w:w="2642" w:type="pct"/>
                  <w:shd w:val="clear" w:color="auto" w:fill="auto"/>
                </w:tcPr>
                <w:p w:rsidR="00746DC0" w:rsidRPr="00002CCC" w:rsidRDefault="00746DC0" w:rsidP="00002CCC">
                  <w:pPr>
                    <w:spacing w:after="0" w:line="240" w:lineRule="auto"/>
                    <w:rPr>
                      <w:rFonts w:ascii="Times New Roman" w:eastAsia="Times New Roman" w:hAnsi="Times New Roman"/>
                      <w:sz w:val="20"/>
                      <w:szCs w:val="20"/>
                      <w:lang w:eastAsia="es-ES"/>
                    </w:rPr>
                  </w:pPr>
                </w:p>
              </w:tc>
            </w:tr>
            <w:tr w:rsidR="00746DC0" w:rsidRPr="00002CCC" w:rsidTr="00746DC0">
              <w:trPr>
                <w:trHeight w:val="802"/>
              </w:trPr>
              <w:tc>
                <w:tcPr>
                  <w:tcW w:w="2358" w:type="pct"/>
                  <w:shd w:val="clear" w:color="auto" w:fill="auto"/>
                  <w:hideMark/>
                </w:tcPr>
                <w:p w:rsidR="00746DC0" w:rsidRPr="00002CCC" w:rsidRDefault="00746DC0" w:rsidP="00002CCC">
                  <w:pPr>
                    <w:spacing w:after="0" w:line="240" w:lineRule="auto"/>
                    <w:rPr>
                      <w:rFonts w:ascii="Times New Roman" w:eastAsia="Times New Roman" w:hAnsi="Times New Roman"/>
                      <w:sz w:val="20"/>
                      <w:szCs w:val="20"/>
                      <w:lang w:eastAsia="es-ES"/>
                    </w:rPr>
                  </w:pPr>
                  <w:r w:rsidRPr="00002CCC">
                    <w:rPr>
                      <w:rFonts w:ascii="Times New Roman" w:eastAsia="Times New Roman" w:hAnsi="Times New Roman"/>
                      <w:sz w:val="20"/>
                      <w:szCs w:val="20"/>
                      <w:lang w:eastAsia="es-ES"/>
                    </w:rPr>
                    <w:t>Observaciones:</w:t>
                  </w:r>
                </w:p>
              </w:tc>
              <w:tc>
                <w:tcPr>
                  <w:tcW w:w="2642" w:type="pct"/>
                  <w:shd w:val="clear" w:color="auto" w:fill="auto"/>
                </w:tcPr>
                <w:p w:rsidR="00746DC0" w:rsidRPr="00002CCC" w:rsidRDefault="00746DC0" w:rsidP="00002CCC">
                  <w:pPr>
                    <w:spacing w:after="0" w:line="240" w:lineRule="auto"/>
                    <w:rPr>
                      <w:rFonts w:ascii="Times New Roman" w:eastAsia="Times New Roman" w:hAnsi="Times New Roman"/>
                      <w:sz w:val="20"/>
                      <w:szCs w:val="20"/>
                      <w:lang w:eastAsia="es-ES"/>
                    </w:rPr>
                  </w:pPr>
                </w:p>
              </w:tc>
            </w:tr>
          </w:tbl>
          <w:p w:rsidR="00746DC0" w:rsidRPr="00002CCC" w:rsidRDefault="00746DC0" w:rsidP="00002CCC">
            <w:pPr>
              <w:spacing w:after="0" w:line="240" w:lineRule="auto"/>
              <w:rPr>
                <w:rFonts w:ascii="Times New Roman" w:eastAsia="Times New Roman" w:hAnsi="Times New Roman"/>
                <w:sz w:val="20"/>
                <w:szCs w:val="20"/>
                <w:lang w:eastAsia="es-ES"/>
              </w:rPr>
            </w:pPr>
          </w:p>
          <w:p w:rsidR="00746DC0" w:rsidRPr="00002CCC" w:rsidRDefault="00746DC0" w:rsidP="00002CCC">
            <w:pPr>
              <w:spacing w:after="0" w:line="240" w:lineRule="auto"/>
              <w:rPr>
                <w:rFonts w:ascii="Arial" w:eastAsia="Times New Roman" w:hAnsi="Arial" w:cs="Arial"/>
                <w:bCs/>
                <w:sz w:val="18"/>
                <w:szCs w:val="18"/>
                <w:lang w:eastAsia="es-ES"/>
              </w:rPr>
            </w:pPr>
            <w:r w:rsidRPr="00002CCC">
              <w:rPr>
                <w:rFonts w:ascii="Arial" w:eastAsia="Times New Roman" w:hAnsi="Arial" w:cs="Arial"/>
                <w:sz w:val="18"/>
                <w:szCs w:val="18"/>
                <w:lang w:eastAsia="es-ES"/>
              </w:rPr>
              <w:t>Nota Fuente: Informe de rendimiento de cuentas de área. (2017)</w:t>
            </w:r>
          </w:p>
        </w:tc>
      </w:tr>
    </w:tbl>
    <w:p w:rsidR="00DA62C0" w:rsidRDefault="00DA62C0">
      <w:pPr>
        <w:rPr>
          <w:rFonts w:ascii="Arial" w:eastAsia="Times New Roman" w:hAnsi="Arial" w:cs="Arial"/>
          <w:sz w:val="20"/>
          <w:szCs w:val="20"/>
          <w:lang w:val="es-ES" w:eastAsia="es-ES"/>
        </w:rPr>
      </w:pPr>
    </w:p>
    <w:p w:rsidR="00DA62C0" w:rsidRDefault="00DA62C0">
      <w:pPr>
        <w:rPr>
          <w:rFonts w:ascii="Arial" w:eastAsia="Times New Roman" w:hAnsi="Arial" w:cs="Arial"/>
          <w:sz w:val="20"/>
          <w:szCs w:val="20"/>
          <w:lang w:val="es-ES" w:eastAsia="es-ES"/>
        </w:rPr>
      </w:pPr>
      <w:r>
        <w:rPr>
          <w:rFonts w:ascii="Arial" w:eastAsia="Times New Roman" w:hAnsi="Arial" w:cs="Arial"/>
          <w:sz w:val="20"/>
          <w:szCs w:val="20"/>
          <w:lang w:val="es-ES" w:eastAsia="es-ES"/>
        </w:rPr>
        <w:br w:type="page"/>
      </w:r>
    </w:p>
    <w:p w:rsidR="00554401" w:rsidRPr="00554401" w:rsidRDefault="00554401" w:rsidP="00554401">
      <w:pPr>
        <w:spacing w:after="0" w:line="240" w:lineRule="auto"/>
        <w:jc w:val="both"/>
        <w:rPr>
          <w:rFonts w:ascii="Arial" w:eastAsia="Times New Roman" w:hAnsi="Arial" w:cs="Arial"/>
          <w:b/>
          <w:sz w:val="20"/>
          <w:szCs w:val="20"/>
          <w:lang w:eastAsia="es-ES"/>
        </w:rPr>
      </w:pPr>
      <w:r w:rsidRPr="00554401">
        <w:rPr>
          <w:rFonts w:ascii="Arial" w:eastAsia="Times New Roman" w:hAnsi="Arial" w:cs="Arial"/>
          <w:b/>
          <w:sz w:val="20"/>
          <w:szCs w:val="20"/>
          <w:lang w:eastAsia="es-ES"/>
        </w:rPr>
        <w:lastRenderedPageBreak/>
        <w:t>Indicador N°17 Número de capacitaciones brindadas en materia reglamentaria, según las competencias indicadas en la Ley de Planificación Urbana</w:t>
      </w:r>
    </w:p>
    <w:p w:rsidR="00554401" w:rsidRPr="00554401" w:rsidRDefault="00554401" w:rsidP="00554401">
      <w:pPr>
        <w:spacing w:after="0" w:line="240" w:lineRule="auto"/>
        <w:jc w:val="both"/>
        <w:rPr>
          <w:rFonts w:ascii="Arial" w:eastAsia="Times New Roman" w:hAnsi="Arial" w:cs="Arial"/>
          <w:b/>
          <w:sz w:val="20"/>
          <w:szCs w:val="20"/>
          <w:lang w:eastAsia="es-ES"/>
        </w:rPr>
      </w:pPr>
    </w:p>
    <w:p w:rsidR="00554401" w:rsidRPr="00554401" w:rsidRDefault="00554401" w:rsidP="00554401">
      <w:pPr>
        <w:spacing w:after="0" w:line="240" w:lineRule="auto"/>
        <w:jc w:val="both"/>
        <w:rPr>
          <w:rFonts w:ascii="Arial" w:eastAsia="Times New Roman" w:hAnsi="Arial" w:cs="Arial"/>
          <w:sz w:val="20"/>
          <w:szCs w:val="20"/>
          <w:lang w:eastAsia="es-ES"/>
        </w:rPr>
      </w:pPr>
      <w:r w:rsidRPr="00554401">
        <w:rPr>
          <w:rFonts w:ascii="Arial" w:eastAsia="Times New Roman" w:hAnsi="Arial" w:cs="Arial"/>
          <w:sz w:val="20"/>
          <w:szCs w:val="20"/>
          <w:lang w:eastAsia="es-ES"/>
        </w:rPr>
        <w:t xml:space="preserve">A diciembre se impartieron doce capacitaciones, principalmente sobre el Reglamento de Construcciones y el Reglamento de Renovación </w:t>
      </w:r>
      <w:r w:rsidR="007013E8" w:rsidRPr="00554401">
        <w:rPr>
          <w:rFonts w:ascii="Arial" w:eastAsia="Times New Roman" w:hAnsi="Arial" w:cs="Arial"/>
          <w:sz w:val="20"/>
          <w:szCs w:val="20"/>
          <w:lang w:eastAsia="es-ES"/>
        </w:rPr>
        <w:t xml:space="preserve">Urbana. </w:t>
      </w:r>
      <w:r w:rsidRPr="00554401">
        <w:rPr>
          <w:rFonts w:ascii="Arial" w:eastAsia="Times New Roman" w:hAnsi="Arial" w:cs="Arial"/>
          <w:sz w:val="20"/>
          <w:szCs w:val="20"/>
          <w:lang w:eastAsia="es-ES"/>
        </w:rPr>
        <w:t>La meta anual se cumplió en un 100%.</w:t>
      </w:r>
    </w:p>
    <w:p w:rsidR="00554401" w:rsidRPr="00554401" w:rsidRDefault="00554401" w:rsidP="00554401">
      <w:pPr>
        <w:spacing w:after="0" w:line="240" w:lineRule="auto"/>
        <w:jc w:val="both"/>
        <w:rPr>
          <w:rFonts w:ascii="Arial" w:eastAsia="Times New Roman" w:hAnsi="Arial" w:cs="Arial"/>
          <w:sz w:val="20"/>
          <w:szCs w:val="20"/>
          <w:lang w:eastAsia="es-ES"/>
        </w:rPr>
      </w:pPr>
    </w:p>
    <w:p w:rsidR="00554401" w:rsidRPr="00554401" w:rsidRDefault="00554401" w:rsidP="00554401">
      <w:pPr>
        <w:spacing w:after="0" w:line="240" w:lineRule="auto"/>
        <w:jc w:val="both"/>
        <w:rPr>
          <w:rFonts w:ascii="Arial" w:eastAsia="Times New Roman" w:hAnsi="Arial" w:cs="Arial"/>
          <w:sz w:val="20"/>
          <w:szCs w:val="20"/>
          <w:lang w:eastAsia="es-ES"/>
        </w:rPr>
      </w:pPr>
      <w:r w:rsidRPr="00554401">
        <w:rPr>
          <w:rFonts w:ascii="Arial" w:eastAsia="Times New Roman" w:hAnsi="Arial" w:cs="Arial"/>
          <w:sz w:val="20"/>
          <w:szCs w:val="20"/>
          <w:lang w:eastAsia="es-ES"/>
        </w:rPr>
        <w:t>Entre las instituciones a las que se impartió capacitación se pueden mencionar: Municipalidades del país, Cámara de Consultores en Arquitectura e Ingeniería y público en general.</w:t>
      </w:r>
    </w:p>
    <w:p w:rsidR="00554401" w:rsidRPr="00554401" w:rsidRDefault="00554401" w:rsidP="00554401">
      <w:pPr>
        <w:spacing w:after="0" w:line="240" w:lineRule="auto"/>
        <w:jc w:val="both"/>
        <w:rPr>
          <w:rFonts w:ascii="Arial" w:eastAsia="Times New Roman" w:hAnsi="Arial" w:cs="Arial"/>
          <w:sz w:val="20"/>
          <w:szCs w:val="20"/>
          <w:lang w:eastAsia="es-ES"/>
        </w:rPr>
      </w:pPr>
      <w:r w:rsidRPr="00554401">
        <w:rPr>
          <w:rFonts w:ascii="Arial" w:eastAsia="Times New Roman" w:hAnsi="Arial" w:cs="Arial"/>
          <w:sz w:val="20"/>
          <w:szCs w:val="20"/>
          <w:lang w:eastAsia="es-ES"/>
        </w:rPr>
        <w:t xml:space="preserve"> </w:t>
      </w:r>
    </w:p>
    <w:p w:rsidR="00554401" w:rsidRPr="00554401" w:rsidRDefault="00554401" w:rsidP="00554401">
      <w:pPr>
        <w:spacing w:after="0" w:line="240" w:lineRule="auto"/>
        <w:jc w:val="both"/>
        <w:rPr>
          <w:rFonts w:ascii="Arial" w:eastAsia="Times New Roman" w:hAnsi="Arial" w:cs="Arial"/>
          <w:sz w:val="20"/>
          <w:szCs w:val="20"/>
          <w:lang w:eastAsia="es-ES"/>
        </w:rPr>
      </w:pPr>
      <w:r w:rsidRPr="00554401">
        <w:rPr>
          <w:rFonts w:ascii="Arial" w:eastAsia="Times New Roman" w:hAnsi="Arial" w:cs="Arial"/>
          <w:sz w:val="20"/>
          <w:szCs w:val="20"/>
          <w:lang w:eastAsia="es-ES"/>
        </w:rPr>
        <w:t>Seguidamente se muestra un detalle de lo actuado:</w:t>
      </w:r>
    </w:p>
    <w:tbl>
      <w:tblPr>
        <w:tblW w:w="9103" w:type="dxa"/>
        <w:tblBorders>
          <w:insideH w:val="single" w:sz="6" w:space="0" w:color="000000"/>
          <w:insideV w:val="single" w:sz="6" w:space="0" w:color="000000"/>
        </w:tblBorders>
        <w:tblLook w:val="04A0" w:firstRow="1" w:lastRow="0" w:firstColumn="1" w:lastColumn="0" w:noHBand="0" w:noVBand="1"/>
      </w:tblPr>
      <w:tblGrid>
        <w:gridCol w:w="4293"/>
        <w:gridCol w:w="4810"/>
      </w:tblGrid>
      <w:tr w:rsidR="00554401" w:rsidRPr="00554401" w:rsidTr="002D5BDD">
        <w:trPr>
          <w:trHeight w:val="270"/>
        </w:trPr>
        <w:tc>
          <w:tcPr>
            <w:tcW w:w="5000" w:type="pct"/>
            <w:gridSpan w:val="2"/>
            <w:shd w:val="clear" w:color="auto" w:fill="auto"/>
            <w:noWrap/>
            <w:hideMark/>
          </w:tcPr>
          <w:p w:rsidR="00554401" w:rsidRPr="00554401" w:rsidRDefault="00554401" w:rsidP="00554401">
            <w:pPr>
              <w:spacing w:after="0" w:line="240" w:lineRule="auto"/>
              <w:jc w:val="both"/>
              <w:rPr>
                <w:rFonts w:ascii="Arial" w:eastAsia="Times New Roman" w:hAnsi="Arial" w:cs="Arial"/>
                <w:b/>
                <w:sz w:val="20"/>
                <w:szCs w:val="20"/>
                <w:lang w:eastAsia="es-ES"/>
              </w:rPr>
            </w:pPr>
          </w:p>
          <w:p w:rsidR="00554401" w:rsidRPr="00554401" w:rsidRDefault="00554401" w:rsidP="00554401">
            <w:pPr>
              <w:spacing w:after="0" w:line="240" w:lineRule="auto"/>
              <w:jc w:val="center"/>
              <w:rPr>
                <w:rFonts w:ascii="Arial" w:eastAsia="Times New Roman" w:hAnsi="Arial" w:cs="Arial"/>
                <w:b/>
                <w:sz w:val="20"/>
                <w:szCs w:val="20"/>
                <w:lang w:eastAsia="es-ES"/>
              </w:rPr>
            </w:pPr>
            <w:r w:rsidRPr="00554401">
              <w:rPr>
                <w:rFonts w:ascii="Arial" w:eastAsia="Times New Roman" w:hAnsi="Arial" w:cs="Arial"/>
                <w:b/>
                <w:sz w:val="20"/>
                <w:szCs w:val="20"/>
                <w:lang w:eastAsia="es-ES"/>
              </w:rPr>
              <w:t>Tabla 16 Acciones Realizadas</w:t>
            </w:r>
          </w:p>
        </w:tc>
      </w:tr>
      <w:tr w:rsidR="00554401" w:rsidRPr="00554401" w:rsidTr="002D5BDD">
        <w:trPr>
          <w:trHeight w:val="825"/>
        </w:trPr>
        <w:tc>
          <w:tcPr>
            <w:tcW w:w="2358" w:type="pct"/>
            <w:shd w:val="clear" w:color="auto" w:fill="auto"/>
            <w:hideMark/>
          </w:tcPr>
          <w:p w:rsidR="00554401" w:rsidRPr="00554401" w:rsidRDefault="00554401" w:rsidP="00554401">
            <w:pPr>
              <w:spacing w:after="0" w:line="240" w:lineRule="auto"/>
              <w:jc w:val="both"/>
              <w:rPr>
                <w:rFonts w:ascii="Arial" w:eastAsia="Times New Roman" w:hAnsi="Arial" w:cs="Arial"/>
                <w:b/>
                <w:sz w:val="20"/>
                <w:szCs w:val="20"/>
                <w:lang w:eastAsia="es-ES"/>
              </w:rPr>
            </w:pPr>
            <w:r w:rsidRPr="00554401">
              <w:rPr>
                <w:rFonts w:ascii="Arial" w:eastAsia="Times New Roman" w:hAnsi="Arial" w:cs="Arial"/>
                <w:b/>
                <w:sz w:val="20"/>
                <w:szCs w:val="20"/>
                <w:lang w:eastAsia="es-ES"/>
              </w:rPr>
              <w:t>a) Actividades realizadas:</w:t>
            </w:r>
          </w:p>
        </w:tc>
        <w:tc>
          <w:tcPr>
            <w:tcW w:w="2642" w:type="pct"/>
            <w:shd w:val="clear" w:color="auto" w:fill="auto"/>
          </w:tcPr>
          <w:p w:rsidR="00554401" w:rsidRPr="00554401" w:rsidRDefault="00554401" w:rsidP="00554401">
            <w:pPr>
              <w:spacing w:after="0" w:line="240" w:lineRule="auto"/>
              <w:jc w:val="both"/>
              <w:rPr>
                <w:rFonts w:ascii="Arial" w:eastAsia="Times New Roman" w:hAnsi="Arial" w:cs="Arial"/>
                <w:sz w:val="20"/>
                <w:szCs w:val="20"/>
                <w:lang w:eastAsia="es-ES"/>
              </w:rPr>
            </w:pPr>
            <w:r w:rsidRPr="00554401">
              <w:rPr>
                <w:rFonts w:ascii="Arial" w:eastAsia="Times New Roman" w:hAnsi="Arial" w:cs="Arial"/>
                <w:sz w:val="20"/>
                <w:szCs w:val="20"/>
                <w:lang w:eastAsia="es-ES"/>
              </w:rPr>
              <w:t>- Se elaboraron dos encuestas, una de gestión municipal y la otra sobre temas de capacitación.</w:t>
            </w:r>
          </w:p>
          <w:p w:rsidR="00554401" w:rsidRPr="00554401" w:rsidRDefault="00554401" w:rsidP="00554401">
            <w:pPr>
              <w:spacing w:after="0" w:line="240" w:lineRule="auto"/>
              <w:jc w:val="both"/>
              <w:rPr>
                <w:rFonts w:ascii="Arial" w:eastAsia="Times New Roman" w:hAnsi="Arial" w:cs="Arial"/>
                <w:sz w:val="20"/>
                <w:szCs w:val="20"/>
                <w:lang w:eastAsia="es-ES"/>
              </w:rPr>
            </w:pPr>
            <w:r w:rsidRPr="00554401">
              <w:rPr>
                <w:rFonts w:ascii="Arial" w:eastAsia="Times New Roman" w:hAnsi="Arial" w:cs="Arial"/>
                <w:sz w:val="20"/>
                <w:szCs w:val="20"/>
                <w:lang w:eastAsia="es-ES"/>
              </w:rPr>
              <w:t>Se enviaron por correo a 51 municipalidades, para obtener los temas que requerían capacitación.</w:t>
            </w:r>
          </w:p>
          <w:p w:rsidR="00554401" w:rsidRPr="00554401" w:rsidRDefault="00554401" w:rsidP="00554401">
            <w:pPr>
              <w:spacing w:after="0" w:line="240" w:lineRule="auto"/>
              <w:jc w:val="both"/>
              <w:rPr>
                <w:rFonts w:ascii="Arial" w:eastAsia="Times New Roman" w:hAnsi="Arial" w:cs="Arial"/>
                <w:sz w:val="20"/>
                <w:szCs w:val="20"/>
                <w:lang w:eastAsia="es-ES"/>
              </w:rPr>
            </w:pPr>
            <w:r w:rsidRPr="00554401">
              <w:rPr>
                <w:rFonts w:ascii="Arial" w:eastAsia="Times New Roman" w:hAnsi="Arial" w:cs="Arial"/>
                <w:sz w:val="20"/>
                <w:szCs w:val="20"/>
                <w:lang w:eastAsia="es-ES"/>
              </w:rPr>
              <w:t xml:space="preserve">- En coordinación con el Instituto de Fomento y Asesoría Municipal (IFAM) se capacitaron las municipalidades del país, divididas en 7 regiones (GAM#1, GAM#2, Chorotega, Pacifico Central, Brunca, Huetar y Occidente). El tema fue sobre el Reglamento de Renovación Urbana y la consulta preliminar del Manual de Planes Reguladores de Ordenamiento Territorial Local. </w:t>
            </w:r>
          </w:p>
          <w:p w:rsidR="00554401" w:rsidRPr="00554401" w:rsidRDefault="00554401" w:rsidP="00554401">
            <w:pPr>
              <w:spacing w:after="0" w:line="240" w:lineRule="auto"/>
              <w:jc w:val="both"/>
              <w:rPr>
                <w:rFonts w:ascii="Arial" w:eastAsia="Times New Roman" w:hAnsi="Arial" w:cs="Arial"/>
                <w:sz w:val="20"/>
                <w:szCs w:val="20"/>
                <w:lang w:eastAsia="es-ES"/>
              </w:rPr>
            </w:pPr>
            <w:r w:rsidRPr="00554401">
              <w:rPr>
                <w:rFonts w:ascii="Arial" w:eastAsia="Times New Roman" w:hAnsi="Arial" w:cs="Arial"/>
                <w:sz w:val="20"/>
                <w:szCs w:val="20"/>
                <w:lang w:eastAsia="es-ES"/>
              </w:rPr>
              <w:t>- Se realizó un Foro en las instalaciones del IFAM para presentar el Reglamento de Construcciones a los profesionales en general.</w:t>
            </w:r>
          </w:p>
          <w:p w:rsidR="00554401" w:rsidRPr="00554401" w:rsidRDefault="00554401" w:rsidP="00554401">
            <w:pPr>
              <w:spacing w:after="0" w:line="240" w:lineRule="auto"/>
              <w:jc w:val="both"/>
              <w:rPr>
                <w:rFonts w:ascii="Arial" w:eastAsia="Times New Roman" w:hAnsi="Arial" w:cs="Arial"/>
                <w:sz w:val="20"/>
                <w:szCs w:val="20"/>
                <w:lang w:eastAsia="es-ES"/>
              </w:rPr>
            </w:pPr>
            <w:r w:rsidRPr="00554401">
              <w:rPr>
                <w:rFonts w:ascii="Arial" w:eastAsia="Times New Roman" w:hAnsi="Arial" w:cs="Arial"/>
                <w:sz w:val="20"/>
                <w:szCs w:val="20"/>
                <w:lang w:eastAsia="es-ES"/>
              </w:rPr>
              <w:t>- A solicitud de La Cámara de Consultores en Arquitectura e Ingeniería se realizó un foro para presentar el Reglamento de Renovación Urbana, en compañía de la Presidenta Ejecutiva.</w:t>
            </w:r>
          </w:p>
          <w:p w:rsidR="00554401" w:rsidRPr="00554401" w:rsidRDefault="00554401" w:rsidP="00554401">
            <w:pPr>
              <w:spacing w:after="0" w:line="240" w:lineRule="auto"/>
              <w:jc w:val="both"/>
              <w:rPr>
                <w:rFonts w:ascii="Arial" w:eastAsia="Times New Roman" w:hAnsi="Arial" w:cs="Arial"/>
                <w:sz w:val="20"/>
                <w:szCs w:val="20"/>
                <w:lang w:eastAsia="es-ES"/>
              </w:rPr>
            </w:pPr>
            <w:r w:rsidRPr="00554401">
              <w:rPr>
                <w:rFonts w:ascii="Arial" w:eastAsia="Times New Roman" w:hAnsi="Arial" w:cs="Arial"/>
                <w:sz w:val="20"/>
                <w:szCs w:val="20"/>
                <w:lang w:eastAsia="es-ES"/>
              </w:rPr>
              <w:t xml:space="preserve"> - A solicitud de la Comisión Especial Estratégica Territorial de la Municipalidad de Montes de Oca se expuso el Reglamento de Construcciones y el Reglamento de Renovación Urbana.</w:t>
            </w:r>
          </w:p>
          <w:p w:rsidR="00554401" w:rsidRPr="00554401" w:rsidRDefault="00554401" w:rsidP="00554401">
            <w:pPr>
              <w:spacing w:after="0" w:line="240" w:lineRule="auto"/>
              <w:jc w:val="both"/>
              <w:rPr>
                <w:rFonts w:ascii="Arial" w:eastAsia="Times New Roman" w:hAnsi="Arial" w:cs="Arial"/>
                <w:sz w:val="20"/>
                <w:szCs w:val="20"/>
                <w:lang w:eastAsia="es-ES"/>
              </w:rPr>
            </w:pPr>
            <w:r w:rsidRPr="00554401">
              <w:rPr>
                <w:rFonts w:ascii="Arial" w:eastAsia="Times New Roman" w:hAnsi="Arial" w:cs="Arial"/>
                <w:sz w:val="20"/>
                <w:szCs w:val="20"/>
                <w:lang w:eastAsia="es-ES"/>
              </w:rPr>
              <w:t>- Se brindó una capacitación al Concejo Municipal de Turrialba sobre el Reglamento de Renovación Urbana.</w:t>
            </w:r>
          </w:p>
          <w:p w:rsidR="00554401" w:rsidRPr="00554401" w:rsidRDefault="00554401" w:rsidP="00554401">
            <w:pPr>
              <w:spacing w:after="0" w:line="240" w:lineRule="auto"/>
              <w:jc w:val="both"/>
              <w:rPr>
                <w:rFonts w:ascii="Arial" w:eastAsia="Times New Roman" w:hAnsi="Arial" w:cs="Arial"/>
                <w:sz w:val="20"/>
                <w:szCs w:val="20"/>
                <w:lang w:eastAsia="es-ES"/>
              </w:rPr>
            </w:pPr>
            <w:r w:rsidRPr="00554401">
              <w:rPr>
                <w:rFonts w:ascii="Arial" w:eastAsia="Times New Roman" w:hAnsi="Arial" w:cs="Arial"/>
                <w:sz w:val="20"/>
                <w:szCs w:val="20"/>
                <w:lang w:eastAsia="es-ES"/>
              </w:rPr>
              <w:t>- A solicitud de la Comisión del Plan Regulador de Alajuelita se expuso el Reglamento de Renovación Urbana.</w:t>
            </w:r>
          </w:p>
        </w:tc>
      </w:tr>
      <w:tr w:rsidR="00554401" w:rsidRPr="00554401" w:rsidTr="002D5BDD">
        <w:trPr>
          <w:trHeight w:val="142"/>
        </w:trPr>
        <w:tc>
          <w:tcPr>
            <w:tcW w:w="2358" w:type="pct"/>
            <w:shd w:val="clear" w:color="auto" w:fill="auto"/>
            <w:hideMark/>
          </w:tcPr>
          <w:p w:rsidR="00554401" w:rsidRPr="00554401" w:rsidRDefault="00554401" w:rsidP="00554401">
            <w:pPr>
              <w:spacing w:after="0" w:line="240" w:lineRule="auto"/>
              <w:jc w:val="both"/>
              <w:rPr>
                <w:rFonts w:ascii="Arial" w:eastAsia="Times New Roman" w:hAnsi="Arial" w:cs="Arial"/>
                <w:b/>
                <w:sz w:val="20"/>
                <w:szCs w:val="20"/>
                <w:lang w:eastAsia="es-ES"/>
              </w:rPr>
            </w:pPr>
            <w:r w:rsidRPr="00554401">
              <w:rPr>
                <w:rFonts w:ascii="Arial" w:eastAsia="Times New Roman" w:hAnsi="Arial" w:cs="Arial"/>
                <w:b/>
                <w:sz w:val="20"/>
                <w:szCs w:val="20"/>
                <w:lang w:eastAsia="es-ES"/>
              </w:rPr>
              <w:t xml:space="preserve">b) Limitaciones: </w:t>
            </w:r>
          </w:p>
          <w:p w:rsidR="00554401" w:rsidRPr="00554401" w:rsidRDefault="00554401" w:rsidP="00554401">
            <w:pPr>
              <w:spacing w:after="0" w:line="240" w:lineRule="auto"/>
              <w:jc w:val="both"/>
              <w:rPr>
                <w:rFonts w:ascii="Arial" w:eastAsia="Times New Roman" w:hAnsi="Arial" w:cs="Arial"/>
                <w:b/>
                <w:sz w:val="20"/>
                <w:szCs w:val="20"/>
                <w:lang w:eastAsia="es-ES"/>
              </w:rPr>
            </w:pPr>
          </w:p>
        </w:tc>
        <w:tc>
          <w:tcPr>
            <w:tcW w:w="2642" w:type="pct"/>
            <w:shd w:val="clear" w:color="auto" w:fill="auto"/>
          </w:tcPr>
          <w:p w:rsidR="00554401" w:rsidRPr="00554401" w:rsidRDefault="00554401" w:rsidP="00554401">
            <w:pPr>
              <w:spacing w:after="0" w:line="240" w:lineRule="auto"/>
              <w:jc w:val="both"/>
              <w:rPr>
                <w:rFonts w:ascii="Arial" w:eastAsia="Times New Roman" w:hAnsi="Arial" w:cs="Arial"/>
                <w:sz w:val="20"/>
                <w:szCs w:val="20"/>
                <w:lang w:eastAsia="es-ES"/>
              </w:rPr>
            </w:pPr>
          </w:p>
        </w:tc>
      </w:tr>
      <w:tr w:rsidR="00554401" w:rsidRPr="00554401" w:rsidTr="002D5BDD">
        <w:trPr>
          <w:trHeight w:val="471"/>
        </w:trPr>
        <w:tc>
          <w:tcPr>
            <w:tcW w:w="2358" w:type="pct"/>
            <w:shd w:val="clear" w:color="auto" w:fill="auto"/>
            <w:hideMark/>
          </w:tcPr>
          <w:p w:rsidR="00554401" w:rsidRPr="00554401" w:rsidRDefault="00554401" w:rsidP="000A5ABE">
            <w:pPr>
              <w:spacing w:after="0" w:line="240" w:lineRule="auto"/>
              <w:jc w:val="both"/>
              <w:rPr>
                <w:rFonts w:ascii="Arial" w:eastAsia="Times New Roman" w:hAnsi="Arial" w:cs="Arial"/>
                <w:b/>
                <w:sz w:val="20"/>
                <w:szCs w:val="20"/>
                <w:lang w:eastAsia="es-ES"/>
              </w:rPr>
            </w:pPr>
            <w:r w:rsidRPr="00554401">
              <w:rPr>
                <w:rFonts w:ascii="Arial" w:eastAsia="Times New Roman" w:hAnsi="Arial" w:cs="Arial"/>
                <w:b/>
                <w:sz w:val="20"/>
                <w:szCs w:val="20"/>
                <w:lang w:eastAsia="es-ES"/>
              </w:rPr>
              <w:t>c) Medidas correctivas o acciones de mejora (realizadas y por realizar) para el logro de la meta:</w:t>
            </w:r>
          </w:p>
        </w:tc>
        <w:tc>
          <w:tcPr>
            <w:tcW w:w="2642" w:type="pct"/>
            <w:shd w:val="clear" w:color="auto" w:fill="auto"/>
          </w:tcPr>
          <w:p w:rsidR="00554401" w:rsidRPr="00554401" w:rsidRDefault="00554401" w:rsidP="00554401">
            <w:pPr>
              <w:spacing w:after="0" w:line="240" w:lineRule="auto"/>
              <w:jc w:val="both"/>
              <w:rPr>
                <w:rFonts w:ascii="Arial" w:eastAsia="Times New Roman" w:hAnsi="Arial" w:cs="Arial"/>
                <w:sz w:val="20"/>
                <w:szCs w:val="20"/>
                <w:lang w:eastAsia="es-ES"/>
              </w:rPr>
            </w:pPr>
          </w:p>
        </w:tc>
      </w:tr>
      <w:tr w:rsidR="00554401" w:rsidRPr="00554401" w:rsidTr="002D5BDD">
        <w:trPr>
          <w:trHeight w:val="588"/>
        </w:trPr>
        <w:tc>
          <w:tcPr>
            <w:tcW w:w="2358" w:type="pct"/>
            <w:shd w:val="clear" w:color="auto" w:fill="auto"/>
          </w:tcPr>
          <w:p w:rsidR="00554401" w:rsidRPr="00554401" w:rsidRDefault="00554401" w:rsidP="00554401">
            <w:pPr>
              <w:spacing w:after="0" w:line="240" w:lineRule="auto"/>
              <w:jc w:val="both"/>
              <w:rPr>
                <w:rFonts w:ascii="Arial" w:eastAsia="Times New Roman" w:hAnsi="Arial" w:cs="Arial"/>
                <w:b/>
                <w:sz w:val="20"/>
                <w:szCs w:val="20"/>
                <w:lang w:eastAsia="es-ES"/>
              </w:rPr>
            </w:pPr>
            <w:r w:rsidRPr="00554401">
              <w:rPr>
                <w:rFonts w:ascii="Arial" w:eastAsia="Times New Roman" w:hAnsi="Arial" w:cs="Arial"/>
                <w:b/>
                <w:sz w:val="20"/>
                <w:szCs w:val="20"/>
                <w:lang w:eastAsia="es-ES"/>
              </w:rPr>
              <w:t>Observaciones:</w:t>
            </w:r>
          </w:p>
        </w:tc>
        <w:tc>
          <w:tcPr>
            <w:tcW w:w="2642" w:type="pct"/>
            <w:shd w:val="clear" w:color="auto" w:fill="auto"/>
          </w:tcPr>
          <w:p w:rsidR="00554401" w:rsidRPr="00554401" w:rsidRDefault="00554401" w:rsidP="00554401">
            <w:pPr>
              <w:spacing w:after="0" w:line="240" w:lineRule="auto"/>
              <w:jc w:val="both"/>
              <w:rPr>
                <w:rFonts w:ascii="Arial" w:eastAsia="Times New Roman" w:hAnsi="Arial" w:cs="Arial"/>
                <w:b/>
                <w:sz w:val="20"/>
                <w:szCs w:val="20"/>
                <w:lang w:eastAsia="es-ES"/>
              </w:rPr>
            </w:pPr>
          </w:p>
        </w:tc>
      </w:tr>
    </w:tbl>
    <w:p w:rsidR="00554401" w:rsidRPr="00554401" w:rsidRDefault="00554401" w:rsidP="00554401">
      <w:pPr>
        <w:spacing w:after="0" w:line="240" w:lineRule="auto"/>
        <w:jc w:val="both"/>
        <w:rPr>
          <w:rFonts w:ascii="Arial" w:eastAsia="Times New Roman" w:hAnsi="Arial" w:cs="Arial"/>
          <w:b/>
          <w:sz w:val="20"/>
          <w:szCs w:val="20"/>
          <w:lang w:eastAsia="es-ES"/>
        </w:rPr>
      </w:pPr>
    </w:p>
    <w:p w:rsidR="00554401" w:rsidRPr="007013E8" w:rsidRDefault="00554401" w:rsidP="00554401">
      <w:pPr>
        <w:spacing w:after="0" w:line="240" w:lineRule="auto"/>
        <w:jc w:val="both"/>
        <w:rPr>
          <w:rFonts w:ascii="Arial" w:eastAsia="Times New Roman" w:hAnsi="Arial" w:cs="Arial"/>
          <w:sz w:val="18"/>
          <w:szCs w:val="18"/>
          <w:lang w:eastAsia="es-ES"/>
        </w:rPr>
      </w:pPr>
      <w:r w:rsidRPr="007013E8">
        <w:rPr>
          <w:rFonts w:ascii="Arial" w:eastAsia="Times New Roman" w:hAnsi="Arial" w:cs="Arial"/>
          <w:sz w:val="18"/>
          <w:szCs w:val="18"/>
          <w:lang w:eastAsia="es-ES"/>
        </w:rPr>
        <w:t>Nota Fuente: Informe de rendimiento de cuentas de área. (2017)</w:t>
      </w:r>
    </w:p>
    <w:p w:rsidR="009850FD" w:rsidRDefault="009850FD" w:rsidP="009850FD">
      <w:pPr>
        <w:spacing w:after="0" w:line="240" w:lineRule="auto"/>
        <w:jc w:val="both"/>
        <w:rPr>
          <w:rFonts w:ascii="Arial" w:eastAsia="Times New Roman" w:hAnsi="Arial" w:cs="Arial"/>
          <w:sz w:val="20"/>
          <w:szCs w:val="20"/>
          <w:lang w:val="es-ES" w:eastAsia="es-ES"/>
        </w:rPr>
      </w:pPr>
    </w:p>
    <w:p w:rsidR="000A5ABE" w:rsidRDefault="000A5ABE" w:rsidP="009850FD">
      <w:pPr>
        <w:spacing w:after="0" w:line="240" w:lineRule="auto"/>
        <w:jc w:val="both"/>
        <w:rPr>
          <w:rFonts w:ascii="Arial" w:eastAsia="Times New Roman" w:hAnsi="Arial" w:cs="Arial"/>
          <w:sz w:val="20"/>
          <w:szCs w:val="20"/>
          <w:lang w:val="es-ES" w:eastAsia="es-ES"/>
        </w:rPr>
      </w:pPr>
    </w:p>
    <w:p w:rsidR="009850FD" w:rsidRPr="009850FD" w:rsidRDefault="009850FD" w:rsidP="009850FD">
      <w:pPr>
        <w:spacing w:after="0" w:line="240" w:lineRule="auto"/>
        <w:jc w:val="both"/>
        <w:rPr>
          <w:rFonts w:ascii="Arial" w:eastAsia="Times New Roman" w:hAnsi="Arial" w:cs="Arial"/>
          <w:sz w:val="20"/>
          <w:szCs w:val="20"/>
          <w:lang w:val="es-ES" w:eastAsia="es-ES"/>
        </w:rPr>
      </w:pPr>
      <w:r w:rsidRPr="009850FD">
        <w:rPr>
          <w:rFonts w:ascii="Arial" w:eastAsia="Times New Roman" w:hAnsi="Arial" w:cs="Arial"/>
          <w:sz w:val="20"/>
          <w:szCs w:val="20"/>
          <w:lang w:val="es-ES" w:eastAsia="es-ES"/>
        </w:rPr>
        <w:t>Cabe señalar, que durante el mes de agosto la actividad principal fueron los talleres en las regiones, en los cuales se presentó el Reglamento de Renovación Urbana y un documento preliminar del Manual de Planes Reguladores de Ordenamiento Territorial Local. El detalle de sesiones y  participantes se muestra en el siguiente cuadro.</w:t>
      </w:r>
    </w:p>
    <w:p w:rsidR="009850FD" w:rsidRPr="009850FD" w:rsidRDefault="009850FD" w:rsidP="009850FD">
      <w:pPr>
        <w:spacing w:after="0" w:line="240" w:lineRule="auto"/>
        <w:jc w:val="both"/>
        <w:rPr>
          <w:rFonts w:ascii="Arial" w:eastAsia="Times New Roman" w:hAnsi="Arial" w:cs="Arial"/>
          <w:sz w:val="20"/>
          <w:szCs w:val="20"/>
          <w:lang w:val="es-ES" w:eastAsia="es-ES"/>
        </w:rPr>
      </w:pPr>
    </w:p>
    <w:p w:rsidR="009850FD" w:rsidRPr="009850FD" w:rsidRDefault="009850FD" w:rsidP="009850FD">
      <w:pPr>
        <w:spacing w:after="0" w:line="240" w:lineRule="auto"/>
        <w:jc w:val="both"/>
        <w:rPr>
          <w:rFonts w:ascii="Arial" w:eastAsia="Times New Roman" w:hAnsi="Arial" w:cs="Arial"/>
          <w:sz w:val="20"/>
          <w:szCs w:val="20"/>
          <w:lang w:val="es-ES" w:eastAsia="es-ES"/>
        </w:rPr>
      </w:pPr>
    </w:p>
    <w:p w:rsidR="009850FD" w:rsidRPr="009850FD" w:rsidRDefault="009850FD" w:rsidP="009850FD">
      <w:pPr>
        <w:spacing w:after="0" w:line="240" w:lineRule="auto"/>
        <w:jc w:val="both"/>
        <w:rPr>
          <w:rFonts w:ascii="Arial" w:eastAsia="Times New Roman" w:hAnsi="Arial" w:cs="Arial"/>
          <w:sz w:val="20"/>
          <w:szCs w:val="20"/>
          <w:lang w:val="es-ES" w:eastAsia="es-ES"/>
        </w:rPr>
      </w:pPr>
    </w:p>
    <w:p w:rsidR="009850FD" w:rsidRPr="009850FD" w:rsidRDefault="009850FD" w:rsidP="009850FD">
      <w:pPr>
        <w:spacing w:after="0" w:line="240" w:lineRule="auto"/>
        <w:jc w:val="center"/>
        <w:rPr>
          <w:rFonts w:ascii="Arial" w:eastAsia="Times New Roman" w:hAnsi="Arial" w:cs="Arial"/>
          <w:b/>
          <w:sz w:val="20"/>
          <w:szCs w:val="20"/>
          <w:lang w:val="es-ES" w:eastAsia="es-ES"/>
        </w:rPr>
      </w:pPr>
      <w:r w:rsidRPr="009850FD">
        <w:rPr>
          <w:rFonts w:ascii="Arial" w:eastAsia="Times New Roman" w:hAnsi="Arial" w:cs="Arial"/>
          <w:b/>
          <w:sz w:val="20"/>
          <w:szCs w:val="20"/>
          <w:lang w:val="es-ES" w:eastAsia="es-ES"/>
        </w:rPr>
        <w:t>Cuadro 8 Generalidades de los Talleres</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993"/>
        <w:gridCol w:w="2993"/>
        <w:gridCol w:w="2994"/>
      </w:tblGrid>
      <w:tr w:rsidR="009850FD" w:rsidRPr="009850FD" w:rsidTr="002D5BDD">
        <w:tc>
          <w:tcPr>
            <w:tcW w:w="2993" w:type="dxa"/>
            <w:vMerge w:val="restart"/>
            <w:shd w:val="clear" w:color="auto" w:fill="auto"/>
          </w:tcPr>
          <w:p w:rsidR="009850FD" w:rsidRPr="009850FD" w:rsidRDefault="009850FD" w:rsidP="009850FD">
            <w:pPr>
              <w:spacing w:after="0" w:line="240" w:lineRule="auto"/>
              <w:jc w:val="center"/>
              <w:rPr>
                <w:rFonts w:ascii="Arial" w:eastAsia="Times New Roman" w:hAnsi="Arial" w:cs="Arial"/>
                <w:b/>
                <w:sz w:val="20"/>
                <w:szCs w:val="20"/>
                <w:lang w:val="es-ES" w:eastAsia="es-ES"/>
              </w:rPr>
            </w:pPr>
            <w:r w:rsidRPr="009850FD">
              <w:rPr>
                <w:rFonts w:ascii="Arial" w:eastAsia="Times New Roman" w:hAnsi="Arial" w:cs="Arial"/>
                <w:b/>
                <w:sz w:val="20"/>
                <w:szCs w:val="20"/>
                <w:lang w:val="es-ES" w:eastAsia="es-ES"/>
              </w:rPr>
              <w:t>Detalle</w:t>
            </w:r>
          </w:p>
        </w:tc>
        <w:tc>
          <w:tcPr>
            <w:tcW w:w="5987" w:type="dxa"/>
            <w:gridSpan w:val="2"/>
            <w:shd w:val="clear" w:color="auto" w:fill="auto"/>
          </w:tcPr>
          <w:p w:rsidR="009850FD" w:rsidRPr="009850FD" w:rsidRDefault="009850FD" w:rsidP="009850FD">
            <w:pPr>
              <w:spacing w:after="0" w:line="240" w:lineRule="auto"/>
              <w:jc w:val="center"/>
              <w:rPr>
                <w:rFonts w:ascii="Arial" w:eastAsia="Times New Roman" w:hAnsi="Arial" w:cs="Arial"/>
                <w:b/>
                <w:sz w:val="20"/>
                <w:szCs w:val="20"/>
                <w:lang w:val="es-ES" w:eastAsia="es-ES"/>
              </w:rPr>
            </w:pPr>
            <w:r w:rsidRPr="009850FD">
              <w:rPr>
                <w:rFonts w:ascii="Arial" w:eastAsia="Times New Roman" w:hAnsi="Arial" w:cs="Arial"/>
                <w:b/>
                <w:sz w:val="20"/>
                <w:szCs w:val="20"/>
                <w:lang w:val="es-ES" w:eastAsia="es-ES"/>
              </w:rPr>
              <w:t>Cantidad</w:t>
            </w:r>
          </w:p>
        </w:tc>
      </w:tr>
      <w:tr w:rsidR="009850FD" w:rsidRPr="009850FD" w:rsidTr="002D5BDD">
        <w:tc>
          <w:tcPr>
            <w:tcW w:w="2993" w:type="dxa"/>
            <w:vMerge/>
            <w:shd w:val="clear" w:color="auto" w:fill="auto"/>
          </w:tcPr>
          <w:p w:rsidR="009850FD" w:rsidRPr="009850FD" w:rsidRDefault="009850FD" w:rsidP="009850FD">
            <w:pPr>
              <w:spacing w:after="0" w:line="240" w:lineRule="auto"/>
              <w:jc w:val="center"/>
              <w:rPr>
                <w:rFonts w:ascii="Arial" w:eastAsia="Times New Roman" w:hAnsi="Arial" w:cs="Arial"/>
                <w:b/>
                <w:sz w:val="20"/>
                <w:szCs w:val="20"/>
                <w:lang w:val="es-ES" w:eastAsia="es-ES"/>
              </w:rPr>
            </w:pPr>
          </w:p>
        </w:tc>
        <w:tc>
          <w:tcPr>
            <w:tcW w:w="2993" w:type="dxa"/>
            <w:shd w:val="clear" w:color="auto" w:fill="auto"/>
          </w:tcPr>
          <w:p w:rsidR="009850FD" w:rsidRPr="009850FD" w:rsidRDefault="009850FD" w:rsidP="009850FD">
            <w:pPr>
              <w:spacing w:after="0" w:line="240" w:lineRule="auto"/>
              <w:jc w:val="center"/>
              <w:rPr>
                <w:rFonts w:ascii="Arial" w:eastAsia="Times New Roman" w:hAnsi="Arial" w:cs="Arial"/>
                <w:b/>
                <w:sz w:val="20"/>
                <w:szCs w:val="20"/>
                <w:lang w:val="es-ES" w:eastAsia="es-ES"/>
              </w:rPr>
            </w:pPr>
            <w:r w:rsidRPr="009850FD">
              <w:rPr>
                <w:rFonts w:ascii="Arial" w:eastAsia="Times New Roman" w:hAnsi="Arial" w:cs="Arial"/>
                <w:b/>
                <w:sz w:val="20"/>
                <w:szCs w:val="20"/>
                <w:lang w:val="es-ES" w:eastAsia="es-ES"/>
              </w:rPr>
              <w:t>Absoluto</w:t>
            </w:r>
          </w:p>
        </w:tc>
        <w:tc>
          <w:tcPr>
            <w:tcW w:w="2994" w:type="dxa"/>
            <w:shd w:val="clear" w:color="auto" w:fill="auto"/>
          </w:tcPr>
          <w:p w:rsidR="009850FD" w:rsidRPr="009850FD" w:rsidRDefault="009850FD" w:rsidP="009850FD">
            <w:pPr>
              <w:spacing w:after="0" w:line="240" w:lineRule="auto"/>
              <w:jc w:val="center"/>
              <w:rPr>
                <w:rFonts w:ascii="Arial" w:eastAsia="Times New Roman" w:hAnsi="Arial" w:cs="Arial"/>
                <w:b/>
                <w:sz w:val="20"/>
                <w:szCs w:val="20"/>
                <w:lang w:val="es-ES" w:eastAsia="es-ES"/>
              </w:rPr>
            </w:pPr>
            <w:r w:rsidRPr="009850FD">
              <w:rPr>
                <w:rFonts w:ascii="Arial" w:eastAsia="Times New Roman" w:hAnsi="Arial" w:cs="Arial"/>
                <w:b/>
                <w:sz w:val="20"/>
                <w:szCs w:val="20"/>
                <w:lang w:val="es-ES" w:eastAsia="es-ES"/>
              </w:rPr>
              <w:t>Porcentual</w:t>
            </w:r>
          </w:p>
        </w:tc>
      </w:tr>
      <w:tr w:rsidR="009850FD" w:rsidRPr="009850FD" w:rsidTr="002D5BDD">
        <w:tc>
          <w:tcPr>
            <w:tcW w:w="2993" w:type="dxa"/>
            <w:shd w:val="clear" w:color="auto" w:fill="auto"/>
          </w:tcPr>
          <w:p w:rsidR="009850FD" w:rsidRPr="009850FD" w:rsidRDefault="009850FD" w:rsidP="009850FD">
            <w:pPr>
              <w:spacing w:after="0" w:line="240" w:lineRule="auto"/>
              <w:jc w:val="both"/>
              <w:rPr>
                <w:rFonts w:ascii="Arial" w:eastAsia="Times New Roman" w:hAnsi="Arial" w:cs="Arial"/>
                <w:sz w:val="20"/>
                <w:szCs w:val="20"/>
                <w:lang w:val="es-ES" w:eastAsia="es-ES"/>
              </w:rPr>
            </w:pPr>
            <w:r w:rsidRPr="009850FD">
              <w:rPr>
                <w:rFonts w:ascii="Arial" w:eastAsia="Times New Roman" w:hAnsi="Arial" w:cs="Arial"/>
                <w:sz w:val="20"/>
                <w:szCs w:val="20"/>
                <w:lang w:val="es-ES" w:eastAsia="es-ES"/>
              </w:rPr>
              <w:t xml:space="preserve">Cantidad de sesiones </w:t>
            </w:r>
          </w:p>
          <w:p w:rsidR="009850FD" w:rsidRPr="009850FD" w:rsidRDefault="009850FD" w:rsidP="009850FD">
            <w:pPr>
              <w:spacing w:after="0" w:line="240" w:lineRule="auto"/>
              <w:jc w:val="both"/>
              <w:rPr>
                <w:rFonts w:ascii="Arial" w:eastAsia="Times New Roman" w:hAnsi="Arial" w:cs="Arial"/>
                <w:sz w:val="20"/>
                <w:szCs w:val="20"/>
                <w:lang w:val="es-ES" w:eastAsia="es-ES"/>
              </w:rPr>
            </w:pPr>
          </w:p>
        </w:tc>
        <w:tc>
          <w:tcPr>
            <w:tcW w:w="2993" w:type="dxa"/>
            <w:shd w:val="clear" w:color="auto" w:fill="auto"/>
          </w:tcPr>
          <w:p w:rsidR="009850FD" w:rsidRPr="001E2626" w:rsidRDefault="009850FD" w:rsidP="009850FD">
            <w:pPr>
              <w:spacing w:after="0" w:line="240" w:lineRule="auto"/>
              <w:jc w:val="center"/>
              <w:rPr>
                <w:rFonts w:ascii="Arial" w:eastAsia="Times New Roman" w:hAnsi="Arial" w:cs="Arial"/>
                <w:sz w:val="20"/>
                <w:szCs w:val="20"/>
                <w:lang w:val="es-ES" w:eastAsia="es-ES"/>
              </w:rPr>
            </w:pPr>
            <w:r w:rsidRPr="001E2626">
              <w:rPr>
                <w:rFonts w:ascii="Arial" w:eastAsia="Times New Roman" w:hAnsi="Arial" w:cs="Arial"/>
                <w:sz w:val="20"/>
                <w:szCs w:val="20"/>
                <w:lang w:val="es-ES" w:eastAsia="es-ES"/>
              </w:rPr>
              <w:t>7</w:t>
            </w:r>
          </w:p>
        </w:tc>
        <w:tc>
          <w:tcPr>
            <w:tcW w:w="2994" w:type="dxa"/>
            <w:shd w:val="clear" w:color="auto" w:fill="auto"/>
          </w:tcPr>
          <w:p w:rsidR="009850FD" w:rsidRPr="001E2626" w:rsidRDefault="009850FD" w:rsidP="009850FD">
            <w:pPr>
              <w:spacing w:after="0" w:line="240" w:lineRule="auto"/>
              <w:jc w:val="center"/>
              <w:rPr>
                <w:rFonts w:ascii="Arial" w:eastAsia="Times New Roman" w:hAnsi="Arial" w:cs="Arial"/>
                <w:sz w:val="20"/>
                <w:szCs w:val="20"/>
                <w:lang w:val="es-ES" w:eastAsia="es-ES"/>
              </w:rPr>
            </w:pPr>
          </w:p>
        </w:tc>
      </w:tr>
      <w:tr w:rsidR="009850FD" w:rsidRPr="009850FD" w:rsidTr="002D5BDD">
        <w:tc>
          <w:tcPr>
            <w:tcW w:w="2993" w:type="dxa"/>
            <w:shd w:val="clear" w:color="auto" w:fill="auto"/>
          </w:tcPr>
          <w:p w:rsidR="009850FD" w:rsidRPr="009850FD" w:rsidRDefault="009850FD" w:rsidP="009850FD">
            <w:pPr>
              <w:spacing w:after="0" w:line="240" w:lineRule="auto"/>
              <w:jc w:val="both"/>
              <w:rPr>
                <w:rFonts w:ascii="Arial" w:eastAsia="Times New Roman" w:hAnsi="Arial" w:cs="Arial"/>
                <w:sz w:val="20"/>
                <w:szCs w:val="20"/>
                <w:lang w:val="es-ES" w:eastAsia="es-ES"/>
              </w:rPr>
            </w:pPr>
            <w:r w:rsidRPr="009850FD">
              <w:rPr>
                <w:rFonts w:ascii="Arial" w:eastAsia="Times New Roman" w:hAnsi="Arial" w:cs="Arial"/>
                <w:sz w:val="20"/>
                <w:szCs w:val="20"/>
                <w:lang w:val="es-ES" w:eastAsia="es-ES"/>
              </w:rPr>
              <w:t>Cantidad de participantes</w:t>
            </w:r>
          </w:p>
          <w:p w:rsidR="009850FD" w:rsidRPr="009850FD" w:rsidRDefault="009850FD" w:rsidP="009850FD">
            <w:pPr>
              <w:spacing w:after="0" w:line="240" w:lineRule="auto"/>
              <w:jc w:val="both"/>
              <w:rPr>
                <w:rFonts w:ascii="Arial" w:eastAsia="Times New Roman" w:hAnsi="Arial" w:cs="Arial"/>
                <w:sz w:val="20"/>
                <w:szCs w:val="20"/>
                <w:lang w:val="es-ES" w:eastAsia="es-ES"/>
              </w:rPr>
            </w:pPr>
          </w:p>
        </w:tc>
        <w:tc>
          <w:tcPr>
            <w:tcW w:w="2993" w:type="dxa"/>
            <w:shd w:val="clear" w:color="auto" w:fill="auto"/>
          </w:tcPr>
          <w:p w:rsidR="009850FD" w:rsidRPr="001E2626" w:rsidRDefault="009850FD" w:rsidP="009850FD">
            <w:pPr>
              <w:spacing w:after="0" w:line="240" w:lineRule="auto"/>
              <w:jc w:val="center"/>
              <w:rPr>
                <w:rFonts w:ascii="Arial" w:eastAsia="Times New Roman" w:hAnsi="Arial" w:cs="Arial"/>
                <w:sz w:val="20"/>
                <w:szCs w:val="20"/>
                <w:lang w:val="es-ES" w:eastAsia="es-ES"/>
              </w:rPr>
            </w:pPr>
            <w:r w:rsidRPr="001E2626">
              <w:rPr>
                <w:rFonts w:ascii="Arial" w:eastAsia="Times New Roman" w:hAnsi="Arial" w:cs="Arial"/>
                <w:sz w:val="20"/>
                <w:szCs w:val="20"/>
                <w:lang w:val="es-ES" w:eastAsia="es-ES"/>
              </w:rPr>
              <w:t>202</w:t>
            </w:r>
          </w:p>
        </w:tc>
        <w:tc>
          <w:tcPr>
            <w:tcW w:w="2994" w:type="dxa"/>
            <w:shd w:val="clear" w:color="auto" w:fill="auto"/>
          </w:tcPr>
          <w:p w:rsidR="009850FD" w:rsidRPr="001E2626" w:rsidRDefault="009850FD" w:rsidP="009850FD">
            <w:pPr>
              <w:spacing w:after="0" w:line="240" w:lineRule="auto"/>
              <w:jc w:val="center"/>
              <w:rPr>
                <w:rFonts w:ascii="Arial" w:eastAsia="Times New Roman" w:hAnsi="Arial" w:cs="Arial"/>
                <w:sz w:val="20"/>
                <w:szCs w:val="20"/>
                <w:lang w:val="es-ES" w:eastAsia="es-ES"/>
              </w:rPr>
            </w:pPr>
          </w:p>
        </w:tc>
      </w:tr>
      <w:tr w:rsidR="009850FD" w:rsidRPr="009850FD" w:rsidTr="002D5BDD">
        <w:tc>
          <w:tcPr>
            <w:tcW w:w="2993" w:type="dxa"/>
            <w:shd w:val="clear" w:color="auto" w:fill="auto"/>
          </w:tcPr>
          <w:p w:rsidR="009850FD" w:rsidRPr="009850FD" w:rsidRDefault="009850FD" w:rsidP="009850FD">
            <w:pPr>
              <w:spacing w:after="0" w:line="240" w:lineRule="auto"/>
              <w:jc w:val="both"/>
              <w:rPr>
                <w:rFonts w:ascii="Arial" w:eastAsia="Times New Roman" w:hAnsi="Arial" w:cs="Arial"/>
                <w:sz w:val="20"/>
                <w:szCs w:val="20"/>
                <w:lang w:val="es-ES" w:eastAsia="es-ES"/>
              </w:rPr>
            </w:pPr>
            <w:r w:rsidRPr="009850FD">
              <w:rPr>
                <w:rFonts w:ascii="Arial" w:eastAsia="Times New Roman" w:hAnsi="Arial" w:cs="Arial"/>
                <w:sz w:val="20"/>
                <w:szCs w:val="20"/>
                <w:lang w:val="es-ES" w:eastAsia="es-ES"/>
              </w:rPr>
              <w:t>Cantidad total de gobiernos Municipales participantes.</w:t>
            </w:r>
          </w:p>
          <w:p w:rsidR="009850FD" w:rsidRPr="009850FD" w:rsidRDefault="009850FD" w:rsidP="009850FD">
            <w:pPr>
              <w:spacing w:after="0" w:line="240" w:lineRule="auto"/>
              <w:jc w:val="both"/>
              <w:rPr>
                <w:rFonts w:ascii="Arial" w:eastAsia="Times New Roman" w:hAnsi="Arial" w:cs="Arial"/>
                <w:sz w:val="20"/>
                <w:szCs w:val="20"/>
                <w:lang w:val="es-ES" w:eastAsia="es-ES"/>
              </w:rPr>
            </w:pPr>
            <w:r w:rsidRPr="009850FD">
              <w:rPr>
                <w:rFonts w:ascii="Arial" w:eastAsia="Times New Roman" w:hAnsi="Arial" w:cs="Arial"/>
                <w:sz w:val="20"/>
                <w:szCs w:val="20"/>
                <w:lang w:val="es-ES" w:eastAsia="es-ES"/>
              </w:rPr>
              <w:t>De un total de 82.</w:t>
            </w:r>
          </w:p>
          <w:p w:rsidR="009850FD" w:rsidRPr="009850FD" w:rsidRDefault="009850FD" w:rsidP="009850FD">
            <w:pPr>
              <w:spacing w:after="0" w:line="240" w:lineRule="auto"/>
              <w:jc w:val="both"/>
              <w:rPr>
                <w:rFonts w:ascii="Arial" w:eastAsia="Times New Roman" w:hAnsi="Arial" w:cs="Arial"/>
                <w:sz w:val="20"/>
                <w:szCs w:val="20"/>
                <w:lang w:val="es-ES" w:eastAsia="es-ES"/>
              </w:rPr>
            </w:pPr>
          </w:p>
        </w:tc>
        <w:tc>
          <w:tcPr>
            <w:tcW w:w="2993" w:type="dxa"/>
            <w:shd w:val="clear" w:color="auto" w:fill="auto"/>
          </w:tcPr>
          <w:p w:rsidR="009850FD" w:rsidRPr="001E2626" w:rsidRDefault="009850FD" w:rsidP="009850FD">
            <w:pPr>
              <w:spacing w:after="0" w:line="240" w:lineRule="auto"/>
              <w:jc w:val="center"/>
              <w:rPr>
                <w:rFonts w:ascii="Arial" w:eastAsia="Times New Roman" w:hAnsi="Arial" w:cs="Arial"/>
                <w:sz w:val="20"/>
                <w:szCs w:val="20"/>
                <w:lang w:val="es-ES" w:eastAsia="es-ES"/>
              </w:rPr>
            </w:pPr>
            <w:r w:rsidRPr="001E2626">
              <w:rPr>
                <w:rFonts w:ascii="Arial" w:eastAsia="Times New Roman" w:hAnsi="Arial" w:cs="Arial"/>
                <w:sz w:val="20"/>
                <w:szCs w:val="20"/>
                <w:lang w:val="es-ES" w:eastAsia="es-ES"/>
              </w:rPr>
              <w:t>62</w:t>
            </w:r>
          </w:p>
        </w:tc>
        <w:tc>
          <w:tcPr>
            <w:tcW w:w="2994" w:type="dxa"/>
            <w:shd w:val="clear" w:color="auto" w:fill="auto"/>
          </w:tcPr>
          <w:p w:rsidR="009850FD" w:rsidRPr="001E2626" w:rsidRDefault="009850FD" w:rsidP="009850FD">
            <w:pPr>
              <w:spacing w:after="0" w:line="240" w:lineRule="auto"/>
              <w:jc w:val="center"/>
              <w:rPr>
                <w:rFonts w:ascii="Arial" w:eastAsia="Times New Roman" w:hAnsi="Arial" w:cs="Arial"/>
                <w:sz w:val="20"/>
                <w:szCs w:val="20"/>
                <w:lang w:val="es-ES" w:eastAsia="es-ES"/>
              </w:rPr>
            </w:pPr>
            <w:r w:rsidRPr="001E2626">
              <w:rPr>
                <w:rFonts w:ascii="Arial" w:eastAsia="Times New Roman" w:hAnsi="Arial" w:cs="Arial"/>
                <w:sz w:val="20"/>
                <w:szCs w:val="20"/>
                <w:lang w:val="es-ES" w:eastAsia="es-ES"/>
              </w:rPr>
              <w:t>76%</w:t>
            </w:r>
          </w:p>
        </w:tc>
      </w:tr>
      <w:tr w:rsidR="009850FD" w:rsidRPr="009850FD" w:rsidTr="002D5BDD">
        <w:tc>
          <w:tcPr>
            <w:tcW w:w="2993" w:type="dxa"/>
            <w:shd w:val="clear" w:color="auto" w:fill="auto"/>
          </w:tcPr>
          <w:p w:rsidR="009850FD" w:rsidRPr="009850FD" w:rsidRDefault="009850FD" w:rsidP="009850FD">
            <w:pPr>
              <w:spacing w:after="0" w:line="240" w:lineRule="auto"/>
              <w:jc w:val="both"/>
              <w:rPr>
                <w:rFonts w:ascii="Arial" w:eastAsia="Times New Roman" w:hAnsi="Arial" w:cs="Arial"/>
                <w:sz w:val="20"/>
                <w:szCs w:val="20"/>
                <w:lang w:val="es-ES" w:eastAsia="es-ES"/>
              </w:rPr>
            </w:pPr>
            <w:r w:rsidRPr="009850FD">
              <w:rPr>
                <w:rFonts w:ascii="Arial" w:eastAsia="Times New Roman" w:hAnsi="Arial" w:cs="Arial"/>
                <w:sz w:val="20"/>
                <w:szCs w:val="20"/>
                <w:lang w:val="es-ES" w:eastAsia="es-ES"/>
              </w:rPr>
              <w:t>Cantidad total de Concejos Municipales de Distrito Participantes.</w:t>
            </w:r>
          </w:p>
          <w:p w:rsidR="009850FD" w:rsidRPr="009850FD" w:rsidRDefault="009850FD" w:rsidP="009850FD">
            <w:pPr>
              <w:spacing w:after="0" w:line="240" w:lineRule="auto"/>
              <w:jc w:val="both"/>
              <w:rPr>
                <w:rFonts w:ascii="Arial" w:eastAsia="Times New Roman" w:hAnsi="Arial" w:cs="Arial"/>
                <w:sz w:val="20"/>
                <w:szCs w:val="20"/>
                <w:lang w:val="es-ES" w:eastAsia="es-ES"/>
              </w:rPr>
            </w:pPr>
            <w:r w:rsidRPr="009850FD">
              <w:rPr>
                <w:rFonts w:ascii="Arial" w:eastAsia="Times New Roman" w:hAnsi="Arial" w:cs="Arial"/>
                <w:sz w:val="20"/>
                <w:szCs w:val="20"/>
                <w:lang w:val="es-ES" w:eastAsia="es-ES"/>
              </w:rPr>
              <w:t>De un total de 8.</w:t>
            </w:r>
          </w:p>
          <w:p w:rsidR="009850FD" w:rsidRPr="009850FD" w:rsidRDefault="009850FD" w:rsidP="009850FD">
            <w:pPr>
              <w:spacing w:after="0" w:line="240" w:lineRule="auto"/>
              <w:jc w:val="both"/>
              <w:rPr>
                <w:rFonts w:ascii="Arial" w:eastAsia="Times New Roman" w:hAnsi="Arial" w:cs="Arial"/>
                <w:sz w:val="20"/>
                <w:szCs w:val="20"/>
                <w:lang w:val="es-ES" w:eastAsia="es-ES"/>
              </w:rPr>
            </w:pPr>
          </w:p>
        </w:tc>
        <w:tc>
          <w:tcPr>
            <w:tcW w:w="2993" w:type="dxa"/>
            <w:shd w:val="clear" w:color="auto" w:fill="auto"/>
          </w:tcPr>
          <w:p w:rsidR="009850FD" w:rsidRPr="001E2626" w:rsidRDefault="009850FD" w:rsidP="009850FD">
            <w:pPr>
              <w:spacing w:after="0" w:line="240" w:lineRule="auto"/>
              <w:jc w:val="center"/>
              <w:rPr>
                <w:rFonts w:ascii="Arial" w:eastAsia="Times New Roman" w:hAnsi="Arial" w:cs="Arial"/>
                <w:sz w:val="20"/>
                <w:szCs w:val="20"/>
                <w:lang w:val="es-ES" w:eastAsia="es-ES"/>
              </w:rPr>
            </w:pPr>
            <w:r w:rsidRPr="001E2626">
              <w:rPr>
                <w:rFonts w:ascii="Arial" w:eastAsia="Times New Roman" w:hAnsi="Arial" w:cs="Arial"/>
                <w:sz w:val="20"/>
                <w:szCs w:val="20"/>
                <w:lang w:val="es-ES" w:eastAsia="es-ES"/>
              </w:rPr>
              <w:t>2</w:t>
            </w:r>
          </w:p>
        </w:tc>
        <w:tc>
          <w:tcPr>
            <w:tcW w:w="2994" w:type="dxa"/>
            <w:shd w:val="clear" w:color="auto" w:fill="auto"/>
          </w:tcPr>
          <w:p w:rsidR="009850FD" w:rsidRPr="001E2626" w:rsidRDefault="009850FD" w:rsidP="009850FD">
            <w:pPr>
              <w:spacing w:after="0" w:line="240" w:lineRule="auto"/>
              <w:jc w:val="center"/>
              <w:rPr>
                <w:rFonts w:ascii="Arial" w:eastAsia="Times New Roman" w:hAnsi="Arial" w:cs="Arial"/>
                <w:sz w:val="20"/>
                <w:szCs w:val="20"/>
                <w:lang w:val="es-ES" w:eastAsia="es-ES"/>
              </w:rPr>
            </w:pPr>
            <w:r w:rsidRPr="001E2626">
              <w:rPr>
                <w:rFonts w:ascii="Arial" w:eastAsia="Times New Roman" w:hAnsi="Arial" w:cs="Arial"/>
                <w:sz w:val="20"/>
                <w:szCs w:val="20"/>
                <w:lang w:val="es-ES" w:eastAsia="es-ES"/>
              </w:rPr>
              <w:t>25%</w:t>
            </w:r>
          </w:p>
        </w:tc>
      </w:tr>
    </w:tbl>
    <w:p w:rsidR="009850FD" w:rsidRPr="000A5ABE" w:rsidRDefault="009850FD" w:rsidP="009850FD">
      <w:pPr>
        <w:spacing w:after="0" w:line="240" w:lineRule="auto"/>
        <w:jc w:val="both"/>
        <w:rPr>
          <w:rFonts w:ascii="Arial" w:eastAsia="Times New Roman" w:hAnsi="Arial" w:cs="Arial"/>
          <w:sz w:val="18"/>
          <w:szCs w:val="18"/>
          <w:lang w:val="es-ES" w:eastAsia="es-ES"/>
        </w:rPr>
      </w:pPr>
      <w:r w:rsidRPr="000A5ABE">
        <w:rPr>
          <w:rFonts w:ascii="Arial" w:eastAsia="Times New Roman" w:hAnsi="Arial" w:cs="Arial"/>
          <w:sz w:val="18"/>
          <w:szCs w:val="18"/>
          <w:lang w:val="es-ES" w:eastAsia="es-ES"/>
        </w:rPr>
        <w:t>Nota Fuente: Informe de rendimiento de cuentas de área. (2017)</w:t>
      </w:r>
    </w:p>
    <w:p w:rsidR="009850FD" w:rsidRPr="000A5ABE" w:rsidRDefault="009850FD" w:rsidP="009850FD">
      <w:pPr>
        <w:jc w:val="both"/>
        <w:rPr>
          <w:rFonts w:ascii="Arial" w:hAnsi="Arial" w:cs="Arial"/>
          <w:sz w:val="18"/>
          <w:szCs w:val="18"/>
        </w:rPr>
      </w:pPr>
      <w:r w:rsidRPr="000A5ABE">
        <w:rPr>
          <w:rFonts w:ascii="Arial" w:hAnsi="Arial" w:cs="Arial"/>
          <w:sz w:val="18"/>
          <w:szCs w:val="18"/>
        </w:rPr>
        <w:br w:type="page"/>
      </w:r>
    </w:p>
    <w:p w:rsidR="0028677A" w:rsidRDefault="0028677A" w:rsidP="009850FD">
      <w:pPr>
        <w:spacing w:after="0" w:line="240" w:lineRule="auto"/>
        <w:jc w:val="both"/>
        <w:rPr>
          <w:rFonts w:ascii="Arial" w:eastAsia="Times New Roman" w:hAnsi="Arial" w:cs="Arial"/>
          <w:b/>
          <w:sz w:val="20"/>
          <w:szCs w:val="20"/>
          <w:lang w:eastAsia="es-ES"/>
        </w:rPr>
      </w:pPr>
    </w:p>
    <w:p w:rsidR="009850FD" w:rsidRPr="009850FD" w:rsidRDefault="009850FD" w:rsidP="009850FD">
      <w:pPr>
        <w:spacing w:after="0" w:line="240" w:lineRule="auto"/>
        <w:jc w:val="both"/>
        <w:rPr>
          <w:rFonts w:ascii="Arial" w:eastAsia="Times New Roman" w:hAnsi="Arial" w:cs="Arial"/>
          <w:b/>
          <w:sz w:val="20"/>
          <w:szCs w:val="20"/>
          <w:lang w:eastAsia="es-ES"/>
        </w:rPr>
      </w:pPr>
      <w:r w:rsidRPr="009850FD">
        <w:rPr>
          <w:rFonts w:ascii="Arial" w:eastAsia="Times New Roman" w:hAnsi="Arial" w:cs="Arial"/>
          <w:b/>
          <w:sz w:val="20"/>
          <w:szCs w:val="20"/>
          <w:lang w:eastAsia="es-ES"/>
        </w:rPr>
        <w:t>Indicador N°18 Porcentaje de consultas atendidas en materia reglamentaria, según las competencias indicadas en la Ley de Planificación Urbana</w:t>
      </w:r>
    </w:p>
    <w:p w:rsidR="009850FD" w:rsidRPr="009850FD" w:rsidRDefault="009850FD" w:rsidP="009850FD">
      <w:pPr>
        <w:spacing w:after="0" w:line="240" w:lineRule="auto"/>
        <w:jc w:val="both"/>
        <w:rPr>
          <w:rFonts w:ascii="Arial" w:eastAsia="Times New Roman" w:hAnsi="Arial" w:cs="Arial"/>
          <w:b/>
          <w:sz w:val="20"/>
          <w:szCs w:val="20"/>
          <w:lang w:eastAsia="es-ES"/>
        </w:rPr>
      </w:pPr>
    </w:p>
    <w:p w:rsidR="009850FD" w:rsidRPr="009850FD" w:rsidRDefault="009850FD" w:rsidP="009850FD">
      <w:pPr>
        <w:spacing w:after="0" w:line="240" w:lineRule="auto"/>
        <w:jc w:val="both"/>
        <w:rPr>
          <w:rFonts w:ascii="Arial" w:eastAsia="Times New Roman" w:hAnsi="Arial" w:cs="Arial"/>
          <w:sz w:val="20"/>
          <w:szCs w:val="20"/>
          <w:lang w:eastAsia="es-ES"/>
        </w:rPr>
      </w:pPr>
      <w:r w:rsidRPr="009850FD">
        <w:rPr>
          <w:rFonts w:ascii="Arial" w:eastAsia="Times New Roman" w:hAnsi="Arial" w:cs="Arial"/>
          <w:sz w:val="20"/>
          <w:szCs w:val="20"/>
          <w:lang w:eastAsia="es-ES"/>
        </w:rPr>
        <w:t xml:space="preserve">De enero a diciembre se recibieron y atendieron 84 consultas sobre diferentes temas relacionados con la aplicación de la Ley de Planificación Urbana, cumpliéndose la meta programada en un 100%. </w:t>
      </w:r>
    </w:p>
    <w:p w:rsidR="009850FD" w:rsidRPr="009850FD" w:rsidRDefault="009850FD" w:rsidP="009850FD">
      <w:pPr>
        <w:spacing w:after="0" w:line="240" w:lineRule="auto"/>
        <w:jc w:val="both"/>
        <w:rPr>
          <w:rFonts w:ascii="Arial" w:eastAsia="Times New Roman" w:hAnsi="Arial" w:cs="Arial"/>
          <w:sz w:val="20"/>
          <w:szCs w:val="20"/>
          <w:lang w:eastAsia="es-ES"/>
        </w:rPr>
      </w:pPr>
    </w:p>
    <w:p w:rsidR="009850FD" w:rsidRPr="009850FD" w:rsidRDefault="009850FD" w:rsidP="009850FD">
      <w:pPr>
        <w:spacing w:after="0" w:line="240" w:lineRule="auto"/>
        <w:jc w:val="both"/>
        <w:rPr>
          <w:rFonts w:ascii="Arial" w:eastAsia="Times New Roman" w:hAnsi="Arial" w:cs="Arial"/>
          <w:sz w:val="20"/>
          <w:szCs w:val="20"/>
          <w:lang w:eastAsia="es-ES"/>
        </w:rPr>
      </w:pPr>
      <w:r w:rsidRPr="009850FD">
        <w:rPr>
          <w:rFonts w:ascii="Arial" w:eastAsia="Times New Roman" w:hAnsi="Arial" w:cs="Arial"/>
          <w:sz w:val="20"/>
          <w:szCs w:val="20"/>
          <w:lang w:eastAsia="es-ES"/>
        </w:rPr>
        <w:t>Seguidamente se muestra un detalle de lo actuado:</w:t>
      </w:r>
    </w:p>
    <w:p w:rsidR="009850FD" w:rsidRPr="009850FD" w:rsidRDefault="009850FD" w:rsidP="009850FD">
      <w:pPr>
        <w:spacing w:after="0" w:line="240" w:lineRule="auto"/>
        <w:jc w:val="both"/>
        <w:rPr>
          <w:rFonts w:ascii="Arial" w:eastAsia="Times New Roman" w:hAnsi="Arial" w:cs="Arial"/>
          <w:b/>
          <w:sz w:val="20"/>
          <w:szCs w:val="20"/>
          <w:lang w:eastAsia="es-ES"/>
        </w:rPr>
      </w:pPr>
    </w:p>
    <w:tbl>
      <w:tblPr>
        <w:tblW w:w="9103" w:type="dxa"/>
        <w:tblBorders>
          <w:insideH w:val="single" w:sz="6" w:space="0" w:color="000000"/>
          <w:insideV w:val="single" w:sz="6" w:space="0" w:color="000000"/>
        </w:tblBorders>
        <w:tblLook w:val="04A0" w:firstRow="1" w:lastRow="0" w:firstColumn="1" w:lastColumn="0" w:noHBand="0" w:noVBand="1"/>
      </w:tblPr>
      <w:tblGrid>
        <w:gridCol w:w="4293"/>
        <w:gridCol w:w="4810"/>
      </w:tblGrid>
      <w:tr w:rsidR="009850FD" w:rsidRPr="009850FD" w:rsidTr="002D5BDD">
        <w:trPr>
          <w:trHeight w:val="270"/>
        </w:trPr>
        <w:tc>
          <w:tcPr>
            <w:tcW w:w="5000" w:type="pct"/>
            <w:gridSpan w:val="2"/>
            <w:shd w:val="clear" w:color="auto" w:fill="auto"/>
            <w:noWrap/>
            <w:hideMark/>
          </w:tcPr>
          <w:p w:rsidR="009850FD" w:rsidRPr="009850FD" w:rsidRDefault="009850FD" w:rsidP="009850FD">
            <w:pPr>
              <w:spacing w:after="0" w:line="240" w:lineRule="auto"/>
              <w:jc w:val="center"/>
              <w:rPr>
                <w:rFonts w:ascii="Arial" w:eastAsia="Times New Roman" w:hAnsi="Arial" w:cs="Arial"/>
                <w:b/>
                <w:sz w:val="20"/>
                <w:szCs w:val="20"/>
                <w:lang w:eastAsia="es-ES"/>
              </w:rPr>
            </w:pPr>
            <w:r w:rsidRPr="009850FD">
              <w:rPr>
                <w:rFonts w:ascii="Arial" w:eastAsia="Times New Roman" w:hAnsi="Arial" w:cs="Arial"/>
                <w:b/>
                <w:sz w:val="20"/>
                <w:szCs w:val="20"/>
                <w:lang w:eastAsia="es-ES"/>
              </w:rPr>
              <w:t>Tabla 17 Acciones Realizadas</w:t>
            </w:r>
          </w:p>
        </w:tc>
      </w:tr>
      <w:tr w:rsidR="009850FD" w:rsidRPr="009850FD" w:rsidTr="002D5BDD">
        <w:trPr>
          <w:trHeight w:val="825"/>
        </w:trPr>
        <w:tc>
          <w:tcPr>
            <w:tcW w:w="2358" w:type="pct"/>
            <w:shd w:val="clear" w:color="auto" w:fill="auto"/>
            <w:hideMark/>
          </w:tcPr>
          <w:p w:rsidR="009850FD" w:rsidRPr="009850FD" w:rsidRDefault="009850FD" w:rsidP="009850FD">
            <w:pPr>
              <w:spacing w:after="0" w:line="240" w:lineRule="auto"/>
              <w:jc w:val="both"/>
              <w:rPr>
                <w:rFonts w:ascii="Arial" w:eastAsia="Times New Roman" w:hAnsi="Arial" w:cs="Arial"/>
                <w:b/>
                <w:sz w:val="20"/>
                <w:szCs w:val="20"/>
                <w:lang w:eastAsia="es-ES"/>
              </w:rPr>
            </w:pPr>
            <w:r w:rsidRPr="009850FD">
              <w:rPr>
                <w:rFonts w:ascii="Arial" w:eastAsia="Times New Roman" w:hAnsi="Arial" w:cs="Arial"/>
                <w:b/>
                <w:sz w:val="20"/>
                <w:szCs w:val="20"/>
                <w:lang w:eastAsia="es-ES"/>
              </w:rPr>
              <w:t>a) Actividades realizadas:</w:t>
            </w:r>
          </w:p>
        </w:tc>
        <w:tc>
          <w:tcPr>
            <w:tcW w:w="2642" w:type="pct"/>
            <w:shd w:val="clear" w:color="auto" w:fill="auto"/>
          </w:tcPr>
          <w:p w:rsidR="009850FD" w:rsidRPr="009850FD" w:rsidRDefault="009850FD" w:rsidP="009850FD">
            <w:pPr>
              <w:spacing w:after="0" w:line="240" w:lineRule="auto"/>
              <w:jc w:val="both"/>
              <w:rPr>
                <w:rFonts w:ascii="Arial" w:eastAsia="Times New Roman" w:hAnsi="Arial" w:cs="Arial"/>
                <w:sz w:val="20"/>
                <w:szCs w:val="20"/>
                <w:lang w:eastAsia="es-ES"/>
              </w:rPr>
            </w:pPr>
            <w:r w:rsidRPr="009850FD">
              <w:rPr>
                <w:rFonts w:ascii="Arial" w:eastAsia="Times New Roman" w:hAnsi="Arial" w:cs="Arial"/>
                <w:sz w:val="20"/>
                <w:szCs w:val="20"/>
                <w:lang w:eastAsia="es-ES"/>
              </w:rPr>
              <w:t>- Se atendió a la Municipalidad de Nandayure para revisar proyectos de urbanización y calles públicas.</w:t>
            </w:r>
          </w:p>
          <w:p w:rsidR="009850FD" w:rsidRPr="009850FD" w:rsidRDefault="009850FD" w:rsidP="009850FD">
            <w:pPr>
              <w:spacing w:after="0" w:line="240" w:lineRule="auto"/>
              <w:jc w:val="both"/>
              <w:rPr>
                <w:rFonts w:ascii="Arial" w:eastAsia="Times New Roman" w:hAnsi="Arial" w:cs="Arial"/>
                <w:sz w:val="20"/>
                <w:szCs w:val="20"/>
                <w:lang w:eastAsia="es-ES"/>
              </w:rPr>
            </w:pPr>
            <w:r w:rsidRPr="009850FD">
              <w:rPr>
                <w:rFonts w:ascii="Arial" w:eastAsia="Times New Roman" w:hAnsi="Arial" w:cs="Arial"/>
                <w:sz w:val="20"/>
                <w:szCs w:val="20"/>
                <w:lang w:eastAsia="es-ES"/>
              </w:rPr>
              <w:t>- Se visitó el distrito de Peñas Blancas de San Ramón con funcionarios de la Municipalidad, para revisar 12 proyectos donde se abrieron las calles y se visaron los planos de los lotes.</w:t>
            </w:r>
          </w:p>
          <w:p w:rsidR="009850FD" w:rsidRPr="009850FD" w:rsidRDefault="009850FD" w:rsidP="009850FD">
            <w:pPr>
              <w:spacing w:after="0" w:line="240" w:lineRule="auto"/>
              <w:jc w:val="both"/>
              <w:rPr>
                <w:rFonts w:ascii="Arial" w:eastAsia="Times New Roman" w:hAnsi="Arial" w:cs="Arial"/>
                <w:sz w:val="20"/>
                <w:szCs w:val="20"/>
                <w:lang w:eastAsia="es-ES"/>
              </w:rPr>
            </w:pPr>
            <w:r w:rsidRPr="009850FD">
              <w:rPr>
                <w:rFonts w:ascii="Arial" w:eastAsia="Times New Roman" w:hAnsi="Arial" w:cs="Arial"/>
                <w:sz w:val="20"/>
                <w:szCs w:val="20"/>
                <w:lang w:eastAsia="es-ES"/>
              </w:rPr>
              <w:t xml:space="preserve">- Se asistió al Registro Inmobiliario para analizar la tabla de condominios de edificaciones y lotes. </w:t>
            </w:r>
          </w:p>
          <w:p w:rsidR="009850FD" w:rsidRPr="009850FD" w:rsidRDefault="009850FD" w:rsidP="009850FD">
            <w:pPr>
              <w:spacing w:after="0" w:line="240" w:lineRule="auto"/>
              <w:jc w:val="both"/>
              <w:rPr>
                <w:rFonts w:ascii="Arial" w:eastAsia="Times New Roman" w:hAnsi="Arial" w:cs="Arial"/>
                <w:sz w:val="20"/>
                <w:szCs w:val="20"/>
                <w:lang w:eastAsia="es-ES"/>
              </w:rPr>
            </w:pPr>
            <w:r w:rsidRPr="009850FD">
              <w:rPr>
                <w:rFonts w:ascii="Arial" w:eastAsia="Times New Roman" w:hAnsi="Arial" w:cs="Arial"/>
                <w:sz w:val="20"/>
                <w:szCs w:val="20"/>
                <w:lang w:eastAsia="es-ES"/>
              </w:rPr>
              <w:t>- Se atendió a funcionarios de la CIMAT-ICT para analizar la aplicación al decreto sobre marinas y atracaderos.</w:t>
            </w:r>
          </w:p>
          <w:p w:rsidR="009850FD" w:rsidRPr="009850FD" w:rsidRDefault="009850FD" w:rsidP="009850FD">
            <w:pPr>
              <w:spacing w:after="0" w:line="240" w:lineRule="auto"/>
              <w:jc w:val="both"/>
              <w:rPr>
                <w:rFonts w:ascii="Arial" w:eastAsia="Times New Roman" w:hAnsi="Arial" w:cs="Arial"/>
                <w:sz w:val="20"/>
                <w:szCs w:val="20"/>
                <w:lang w:eastAsia="es-ES"/>
              </w:rPr>
            </w:pPr>
            <w:r w:rsidRPr="009850FD">
              <w:rPr>
                <w:rFonts w:ascii="Arial" w:eastAsia="Times New Roman" w:hAnsi="Arial" w:cs="Arial"/>
                <w:sz w:val="20"/>
                <w:szCs w:val="20"/>
                <w:lang w:eastAsia="es-ES"/>
              </w:rPr>
              <w:t>- Reunión con funcionarios de la Fundación Costa Rica-Canadá sobre el proyecto Santa Marta.</w:t>
            </w:r>
          </w:p>
          <w:p w:rsidR="009850FD" w:rsidRPr="009850FD" w:rsidRDefault="009850FD" w:rsidP="009850FD">
            <w:pPr>
              <w:spacing w:after="0" w:line="240" w:lineRule="auto"/>
              <w:jc w:val="both"/>
              <w:rPr>
                <w:rFonts w:ascii="Arial" w:eastAsia="Times New Roman" w:hAnsi="Arial" w:cs="Arial"/>
                <w:sz w:val="20"/>
                <w:szCs w:val="20"/>
                <w:lang w:eastAsia="es-ES"/>
              </w:rPr>
            </w:pPr>
            <w:r w:rsidRPr="009850FD">
              <w:rPr>
                <w:rFonts w:ascii="Arial" w:eastAsia="Times New Roman" w:hAnsi="Arial" w:cs="Arial"/>
                <w:sz w:val="20"/>
                <w:szCs w:val="20"/>
                <w:lang w:eastAsia="es-ES"/>
              </w:rPr>
              <w:t>- Reuniones con el Benemérito Cuerpo de Bomberos de Costa Rica (BCBCR), para analizar el proyecto de Guararí y la actualización al Reglamento para El Control Nacional de Fraccionamientos y Urbanizaciones (RCNFU).</w:t>
            </w:r>
          </w:p>
          <w:p w:rsidR="009850FD" w:rsidRPr="009850FD" w:rsidRDefault="009850FD" w:rsidP="009850FD">
            <w:pPr>
              <w:spacing w:after="0" w:line="240" w:lineRule="auto"/>
              <w:jc w:val="both"/>
              <w:rPr>
                <w:rFonts w:ascii="Arial" w:eastAsia="Times New Roman" w:hAnsi="Arial" w:cs="Arial"/>
                <w:sz w:val="20"/>
                <w:szCs w:val="20"/>
                <w:lang w:eastAsia="es-ES"/>
              </w:rPr>
            </w:pPr>
            <w:r w:rsidRPr="009850FD">
              <w:rPr>
                <w:rFonts w:ascii="Arial" w:eastAsia="Times New Roman" w:hAnsi="Arial" w:cs="Arial"/>
                <w:sz w:val="20"/>
                <w:szCs w:val="20"/>
                <w:lang w:eastAsia="es-ES"/>
              </w:rPr>
              <w:t>- Se atendió a la Asada de La Argentina de Pococí sobre disponibilidades de Agua, para urbanizaciones, condominios y fraccionamientos.</w:t>
            </w:r>
          </w:p>
          <w:p w:rsidR="009850FD" w:rsidRPr="009850FD" w:rsidRDefault="009850FD" w:rsidP="009850FD">
            <w:pPr>
              <w:spacing w:after="0" w:line="240" w:lineRule="auto"/>
              <w:jc w:val="both"/>
              <w:rPr>
                <w:rFonts w:ascii="Arial" w:eastAsia="Times New Roman" w:hAnsi="Arial" w:cs="Arial"/>
                <w:sz w:val="20"/>
                <w:szCs w:val="20"/>
                <w:lang w:eastAsia="es-ES"/>
              </w:rPr>
            </w:pPr>
            <w:r w:rsidRPr="009850FD">
              <w:rPr>
                <w:rFonts w:ascii="Arial" w:eastAsia="Times New Roman" w:hAnsi="Arial" w:cs="Arial"/>
                <w:sz w:val="20"/>
                <w:szCs w:val="20"/>
                <w:lang w:eastAsia="es-ES"/>
              </w:rPr>
              <w:t xml:space="preserve">- Se atendió a la Alcaldesa de la Municipalidad de Oreamuno para analizar la zonificación y posibles modificaciones al Plan regulador. </w:t>
            </w:r>
          </w:p>
          <w:p w:rsidR="009850FD" w:rsidRPr="009850FD" w:rsidRDefault="009850FD" w:rsidP="009850FD">
            <w:pPr>
              <w:spacing w:after="0" w:line="240" w:lineRule="auto"/>
              <w:jc w:val="both"/>
              <w:rPr>
                <w:rFonts w:ascii="Arial" w:eastAsia="Times New Roman" w:hAnsi="Arial" w:cs="Arial"/>
                <w:sz w:val="20"/>
                <w:szCs w:val="20"/>
                <w:lang w:eastAsia="es-ES"/>
              </w:rPr>
            </w:pPr>
            <w:r w:rsidRPr="009850FD">
              <w:rPr>
                <w:rFonts w:ascii="Arial" w:eastAsia="Times New Roman" w:hAnsi="Arial" w:cs="Arial"/>
                <w:sz w:val="20"/>
                <w:szCs w:val="20"/>
                <w:lang w:eastAsia="es-ES"/>
              </w:rPr>
              <w:t>- Se atendió a la Municipalidad de Poás para revisar algunos proyectos de urbanización y calles públicas.</w:t>
            </w:r>
          </w:p>
          <w:p w:rsidR="009850FD" w:rsidRPr="009850FD" w:rsidRDefault="009850FD" w:rsidP="009850FD">
            <w:pPr>
              <w:spacing w:after="0" w:line="240" w:lineRule="auto"/>
              <w:jc w:val="both"/>
              <w:rPr>
                <w:rFonts w:ascii="Arial" w:eastAsia="Times New Roman" w:hAnsi="Arial" w:cs="Arial"/>
                <w:sz w:val="20"/>
                <w:szCs w:val="20"/>
                <w:lang w:eastAsia="es-ES"/>
              </w:rPr>
            </w:pPr>
            <w:r w:rsidRPr="009850FD">
              <w:rPr>
                <w:rFonts w:ascii="Arial" w:eastAsia="Times New Roman" w:hAnsi="Arial" w:cs="Arial"/>
                <w:sz w:val="20"/>
                <w:szCs w:val="20"/>
                <w:lang w:eastAsia="es-ES"/>
              </w:rPr>
              <w:t>-Se realizaron siete giras como sigue:</w:t>
            </w:r>
          </w:p>
          <w:p w:rsidR="009850FD" w:rsidRPr="009850FD" w:rsidRDefault="009850FD" w:rsidP="009850FD">
            <w:pPr>
              <w:spacing w:after="0" w:line="240" w:lineRule="auto"/>
              <w:jc w:val="both"/>
              <w:rPr>
                <w:rFonts w:ascii="Arial" w:eastAsia="Times New Roman" w:hAnsi="Arial" w:cs="Arial"/>
                <w:sz w:val="20"/>
                <w:szCs w:val="20"/>
                <w:lang w:eastAsia="es-ES"/>
              </w:rPr>
            </w:pPr>
            <w:r w:rsidRPr="009850FD">
              <w:rPr>
                <w:rFonts w:ascii="Arial" w:eastAsia="Times New Roman" w:hAnsi="Arial" w:cs="Arial"/>
                <w:sz w:val="20"/>
                <w:szCs w:val="20"/>
                <w:lang w:eastAsia="es-ES"/>
              </w:rPr>
              <w:t>- Paraíso y Orosi con funcionarios de la Municipalidad de Paraíso, para atender fraccionamientos frente a calle y usos del plan regulador.</w:t>
            </w:r>
          </w:p>
          <w:p w:rsidR="009850FD" w:rsidRPr="009850FD" w:rsidRDefault="009850FD" w:rsidP="009850FD">
            <w:pPr>
              <w:spacing w:after="0" w:line="240" w:lineRule="auto"/>
              <w:jc w:val="both"/>
              <w:rPr>
                <w:rFonts w:ascii="Arial" w:eastAsia="Times New Roman" w:hAnsi="Arial" w:cs="Arial"/>
                <w:sz w:val="20"/>
                <w:szCs w:val="20"/>
                <w:lang w:eastAsia="es-ES"/>
              </w:rPr>
            </w:pPr>
            <w:r w:rsidRPr="009850FD">
              <w:rPr>
                <w:rFonts w:ascii="Arial" w:eastAsia="Times New Roman" w:hAnsi="Arial" w:cs="Arial"/>
                <w:sz w:val="20"/>
                <w:szCs w:val="20"/>
                <w:lang w:eastAsia="es-ES"/>
              </w:rPr>
              <w:t>- San Carlos en coordinación con funcionarios de la Municipalidad, para atender denuncia sobre fraccionamientos frente a calle y planos visados.</w:t>
            </w:r>
          </w:p>
          <w:p w:rsidR="009850FD" w:rsidRPr="009850FD" w:rsidRDefault="009850FD" w:rsidP="009850FD">
            <w:pPr>
              <w:spacing w:after="0" w:line="240" w:lineRule="auto"/>
              <w:jc w:val="both"/>
              <w:rPr>
                <w:rFonts w:ascii="Arial" w:eastAsia="Times New Roman" w:hAnsi="Arial" w:cs="Arial"/>
                <w:sz w:val="20"/>
                <w:szCs w:val="20"/>
                <w:lang w:eastAsia="es-ES"/>
              </w:rPr>
            </w:pPr>
            <w:r w:rsidRPr="009850FD">
              <w:rPr>
                <w:rFonts w:ascii="Arial" w:eastAsia="Times New Roman" w:hAnsi="Arial" w:cs="Arial"/>
                <w:sz w:val="20"/>
                <w:szCs w:val="20"/>
                <w:lang w:eastAsia="es-ES"/>
              </w:rPr>
              <w:t>- Palmares en coordinación con funcionarios de la municipalidad para atender casos de declaratoria de calles públicas y fraccionamientos por servidumbres urbanas.</w:t>
            </w:r>
          </w:p>
          <w:p w:rsidR="009850FD" w:rsidRPr="009850FD" w:rsidRDefault="009850FD" w:rsidP="009850FD">
            <w:pPr>
              <w:spacing w:after="0" w:line="240" w:lineRule="auto"/>
              <w:jc w:val="both"/>
              <w:rPr>
                <w:rFonts w:ascii="Arial" w:eastAsia="Times New Roman" w:hAnsi="Arial" w:cs="Arial"/>
                <w:sz w:val="20"/>
                <w:szCs w:val="20"/>
                <w:lang w:eastAsia="es-ES"/>
              </w:rPr>
            </w:pPr>
            <w:r w:rsidRPr="009850FD">
              <w:rPr>
                <w:rFonts w:ascii="Arial" w:eastAsia="Times New Roman" w:hAnsi="Arial" w:cs="Arial"/>
                <w:sz w:val="20"/>
                <w:szCs w:val="20"/>
                <w:lang w:eastAsia="es-ES"/>
              </w:rPr>
              <w:t xml:space="preserve">- Municipalidad de Montes de Oro para analizar el </w:t>
            </w:r>
            <w:r w:rsidRPr="009850FD">
              <w:rPr>
                <w:rFonts w:ascii="Arial" w:eastAsia="Times New Roman" w:hAnsi="Arial" w:cs="Arial"/>
                <w:sz w:val="20"/>
                <w:szCs w:val="20"/>
                <w:lang w:eastAsia="es-ES"/>
              </w:rPr>
              <w:lastRenderedPageBreak/>
              <w:t xml:space="preserve">estado del plan regulador elaborado por el INVU, así como analizar los casos de segregaciones, frente a servidumbres y calles públicas. </w:t>
            </w:r>
          </w:p>
          <w:p w:rsidR="009850FD" w:rsidRPr="009850FD" w:rsidRDefault="009850FD" w:rsidP="009850FD">
            <w:pPr>
              <w:spacing w:after="0" w:line="240" w:lineRule="auto"/>
              <w:jc w:val="both"/>
              <w:rPr>
                <w:rFonts w:ascii="Arial" w:eastAsia="Times New Roman" w:hAnsi="Arial" w:cs="Arial"/>
                <w:sz w:val="20"/>
                <w:szCs w:val="20"/>
                <w:lang w:eastAsia="es-ES"/>
              </w:rPr>
            </w:pPr>
            <w:r w:rsidRPr="009850FD">
              <w:rPr>
                <w:rFonts w:ascii="Arial" w:eastAsia="Times New Roman" w:hAnsi="Arial" w:cs="Arial"/>
                <w:sz w:val="20"/>
                <w:szCs w:val="20"/>
                <w:lang w:eastAsia="es-ES"/>
              </w:rPr>
              <w:t>- Cantón de Carrillo para atender algunos casos de coberturas dentro de los cuadrantes de los distritos de Filadelfia y Sardinal</w:t>
            </w:r>
          </w:p>
          <w:p w:rsidR="009850FD" w:rsidRPr="009850FD" w:rsidRDefault="009850FD" w:rsidP="009850FD">
            <w:pPr>
              <w:spacing w:after="0" w:line="240" w:lineRule="auto"/>
              <w:jc w:val="both"/>
              <w:rPr>
                <w:rFonts w:ascii="Arial" w:eastAsia="Times New Roman" w:hAnsi="Arial" w:cs="Arial"/>
                <w:sz w:val="20"/>
                <w:szCs w:val="20"/>
                <w:lang w:eastAsia="es-ES"/>
              </w:rPr>
            </w:pPr>
            <w:r w:rsidRPr="009850FD">
              <w:rPr>
                <w:rFonts w:ascii="Arial" w:eastAsia="Times New Roman" w:hAnsi="Arial" w:cs="Arial"/>
                <w:sz w:val="20"/>
                <w:szCs w:val="20"/>
                <w:lang w:eastAsia="es-ES"/>
              </w:rPr>
              <w:t xml:space="preserve">- Urbanización Vistas del Pacifico en Playa Panamá, para atender denuncia de vecinos sobre invasión de áreas públicas y falta de infraestructura. </w:t>
            </w:r>
          </w:p>
          <w:p w:rsidR="009850FD" w:rsidRPr="009850FD" w:rsidRDefault="009850FD" w:rsidP="009850FD">
            <w:pPr>
              <w:spacing w:after="0" w:line="240" w:lineRule="auto"/>
              <w:jc w:val="both"/>
              <w:rPr>
                <w:rFonts w:ascii="Arial" w:eastAsia="Times New Roman" w:hAnsi="Arial" w:cs="Arial"/>
                <w:sz w:val="20"/>
                <w:szCs w:val="20"/>
                <w:lang w:eastAsia="es-ES"/>
              </w:rPr>
            </w:pPr>
            <w:r w:rsidRPr="009850FD">
              <w:rPr>
                <w:rFonts w:ascii="Arial" w:eastAsia="Times New Roman" w:hAnsi="Arial" w:cs="Arial"/>
                <w:sz w:val="20"/>
                <w:szCs w:val="20"/>
                <w:lang w:eastAsia="es-ES"/>
              </w:rPr>
              <w:t xml:space="preserve">- Golfito para atender a funcionarios de la Municipalidad sobre calles públicas. </w:t>
            </w:r>
          </w:p>
          <w:p w:rsidR="009850FD" w:rsidRPr="009850FD" w:rsidRDefault="009850FD" w:rsidP="009850FD">
            <w:pPr>
              <w:spacing w:after="0" w:line="240" w:lineRule="auto"/>
              <w:jc w:val="both"/>
              <w:rPr>
                <w:rFonts w:ascii="Arial" w:eastAsia="Times New Roman" w:hAnsi="Arial" w:cs="Arial"/>
                <w:sz w:val="20"/>
                <w:szCs w:val="20"/>
                <w:lang w:eastAsia="es-ES"/>
              </w:rPr>
            </w:pPr>
            <w:r w:rsidRPr="009850FD">
              <w:rPr>
                <w:rFonts w:ascii="Arial" w:eastAsia="Times New Roman" w:hAnsi="Arial" w:cs="Arial"/>
                <w:sz w:val="20"/>
                <w:szCs w:val="20"/>
                <w:lang w:eastAsia="es-ES"/>
              </w:rPr>
              <w:t>- Defensoría de los Habitantes para atender una invasión en áreas públicas de la Urbanización  El Huaso en Aserrí.</w:t>
            </w:r>
          </w:p>
          <w:p w:rsidR="009850FD" w:rsidRPr="009850FD" w:rsidRDefault="009850FD" w:rsidP="009850FD">
            <w:pPr>
              <w:spacing w:after="0" w:line="240" w:lineRule="auto"/>
              <w:jc w:val="both"/>
              <w:rPr>
                <w:rFonts w:ascii="Arial" w:eastAsia="Times New Roman" w:hAnsi="Arial" w:cs="Arial"/>
                <w:sz w:val="20"/>
                <w:szCs w:val="20"/>
                <w:lang w:eastAsia="es-ES"/>
              </w:rPr>
            </w:pPr>
            <w:r w:rsidRPr="009850FD">
              <w:rPr>
                <w:rFonts w:ascii="Arial" w:eastAsia="Times New Roman" w:hAnsi="Arial" w:cs="Arial"/>
                <w:sz w:val="20"/>
                <w:szCs w:val="20"/>
                <w:lang w:eastAsia="es-ES"/>
              </w:rPr>
              <w:t>-Municipalidad de Alajuela para atender usos en áreas públicas de la Urbanización y Fraccionamiento El Colegio.</w:t>
            </w:r>
          </w:p>
          <w:p w:rsidR="009850FD" w:rsidRPr="009850FD" w:rsidRDefault="009850FD" w:rsidP="009850FD">
            <w:pPr>
              <w:spacing w:after="0" w:line="240" w:lineRule="auto"/>
              <w:jc w:val="both"/>
              <w:rPr>
                <w:rFonts w:ascii="Arial" w:eastAsia="Times New Roman" w:hAnsi="Arial" w:cs="Arial"/>
                <w:sz w:val="20"/>
                <w:szCs w:val="20"/>
                <w:lang w:eastAsia="es-ES"/>
              </w:rPr>
            </w:pPr>
            <w:r w:rsidRPr="009850FD">
              <w:rPr>
                <w:rFonts w:ascii="Arial" w:eastAsia="Times New Roman" w:hAnsi="Arial" w:cs="Arial"/>
                <w:sz w:val="20"/>
                <w:szCs w:val="20"/>
                <w:lang w:eastAsia="es-ES"/>
              </w:rPr>
              <w:t>- Concejo Municipal de Atenas para atender consultas sobre fraccionamientos, frente a calle pública y servidumbres.</w:t>
            </w:r>
          </w:p>
          <w:p w:rsidR="009850FD" w:rsidRPr="009850FD" w:rsidRDefault="009850FD" w:rsidP="009850FD">
            <w:pPr>
              <w:spacing w:after="0" w:line="240" w:lineRule="auto"/>
              <w:jc w:val="both"/>
              <w:rPr>
                <w:rFonts w:ascii="Arial" w:eastAsia="Times New Roman" w:hAnsi="Arial" w:cs="Arial"/>
                <w:sz w:val="20"/>
                <w:szCs w:val="20"/>
                <w:lang w:eastAsia="es-ES"/>
              </w:rPr>
            </w:pPr>
            <w:r w:rsidRPr="009850FD">
              <w:rPr>
                <w:rFonts w:ascii="Arial" w:eastAsia="Times New Roman" w:hAnsi="Arial" w:cs="Arial"/>
                <w:sz w:val="20"/>
                <w:szCs w:val="20"/>
                <w:lang w:eastAsia="es-ES"/>
              </w:rPr>
              <w:t>- Instituto Nacional de Transferencia Agrícola (INTA) para atender la aplicación de la Ley 7779 sobre cambios de uso agrícola a urbano y parcelas agrícolas.</w:t>
            </w:r>
          </w:p>
          <w:p w:rsidR="009850FD" w:rsidRPr="009850FD" w:rsidRDefault="009850FD" w:rsidP="009850FD">
            <w:pPr>
              <w:spacing w:after="0" w:line="240" w:lineRule="auto"/>
              <w:jc w:val="both"/>
              <w:rPr>
                <w:rFonts w:ascii="Arial" w:eastAsia="Times New Roman" w:hAnsi="Arial" w:cs="Arial"/>
                <w:sz w:val="20"/>
                <w:szCs w:val="20"/>
                <w:lang w:eastAsia="es-ES"/>
              </w:rPr>
            </w:pPr>
            <w:r w:rsidRPr="009850FD">
              <w:rPr>
                <w:rFonts w:ascii="Arial" w:eastAsia="Times New Roman" w:hAnsi="Arial" w:cs="Arial"/>
                <w:sz w:val="20"/>
                <w:szCs w:val="20"/>
                <w:lang w:eastAsia="es-ES"/>
              </w:rPr>
              <w:t>- Municipalidad de Esparza sobre urbanización Santa Marta III etapa.</w:t>
            </w:r>
          </w:p>
          <w:p w:rsidR="009850FD" w:rsidRPr="009850FD" w:rsidRDefault="009850FD" w:rsidP="009850FD">
            <w:pPr>
              <w:spacing w:after="0" w:line="240" w:lineRule="auto"/>
              <w:jc w:val="both"/>
              <w:rPr>
                <w:rFonts w:ascii="Arial" w:eastAsia="Times New Roman" w:hAnsi="Arial" w:cs="Arial"/>
                <w:b/>
                <w:sz w:val="20"/>
                <w:szCs w:val="20"/>
                <w:lang w:eastAsia="es-ES"/>
              </w:rPr>
            </w:pPr>
          </w:p>
        </w:tc>
      </w:tr>
      <w:tr w:rsidR="009850FD" w:rsidRPr="009850FD" w:rsidTr="002D5BDD">
        <w:trPr>
          <w:trHeight w:val="705"/>
        </w:trPr>
        <w:tc>
          <w:tcPr>
            <w:tcW w:w="2358" w:type="pct"/>
            <w:shd w:val="clear" w:color="auto" w:fill="auto"/>
            <w:hideMark/>
          </w:tcPr>
          <w:p w:rsidR="009850FD" w:rsidRPr="009850FD" w:rsidRDefault="009850FD" w:rsidP="009850FD">
            <w:pPr>
              <w:spacing w:after="0" w:line="240" w:lineRule="auto"/>
              <w:jc w:val="both"/>
              <w:rPr>
                <w:rFonts w:ascii="Arial" w:eastAsia="Times New Roman" w:hAnsi="Arial" w:cs="Arial"/>
                <w:b/>
                <w:sz w:val="20"/>
                <w:szCs w:val="20"/>
                <w:lang w:eastAsia="es-ES"/>
              </w:rPr>
            </w:pPr>
            <w:r w:rsidRPr="009850FD">
              <w:rPr>
                <w:rFonts w:ascii="Arial" w:eastAsia="Times New Roman" w:hAnsi="Arial" w:cs="Arial"/>
                <w:b/>
                <w:sz w:val="20"/>
                <w:szCs w:val="20"/>
                <w:lang w:eastAsia="es-ES"/>
              </w:rPr>
              <w:t xml:space="preserve">b) Limitaciones: </w:t>
            </w:r>
          </w:p>
          <w:p w:rsidR="009850FD" w:rsidRPr="009850FD" w:rsidRDefault="009850FD" w:rsidP="009850FD">
            <w:pPr>
              <w:spacing w:after="0" w:line="240" w:lineRule="auto"/>
              <w:jc w:val="both"/>
              <w:rPr>
                <w:rFonts w:ascii="Arial" w:eastAsia="Times New Roman" w:hAnsi="Arial" w:cs="Arial"/>
                <w:b/>
                <w:sz w:val="20"/>
                <w:szCs w:val="20"/>
                <w:lang w:eastAsia="es-ES"/>
              </w:rPr>
            </w:pPr>
          </w:p>
          <w:p w:rsidR="009850FD" w:rsidRPr="009850FD" w:rsidRDefault="009850FD" w:rsidP="009850FD">
            <w:pPr>
              <w:spacing w:after="0" w:line="240" w:lineRule="auto"/>
              <w:jc w:val="both"/>
              <w:rPr>
                <w:rFonts w:ascii="Arial" w:eastAsia="Times New Roman" w:hAnsi="Arial" w:cs="Arial"/>
                <w:b/>
                <w:sz w:val="20"/>
                <w:szCs w:val="20"/>
                <w:lang w:eastAsia="es-ES"/>
              </w:rPr>
            </w:pPr>
          </w:p>
        </w:tc>
        <w:tc>
          <w:tcPr>
            <w:tcW w:w="2642" w:type="pct"/>
            <w:shd w:val="clear" w:color="auto" w:fill="auto"/>
          </w:tcPr>
          <w:p w:rsidR="009850FD" w:rsidRPr="009850FD" w:rsidRDefault="009850FD" w:rsidP="009850FD">
            <w:pPr>
              <w:spacing w:after="0" w:line="240" w:lineRule="auto"/>
              <w:jc w:val="both"/>
              <w:rPr>
                <w:rFonts w:ascii="Arial" w:eastAsia="Times New Roman" w:hAnsi="Arial" w:cs="Arial"/>
                <w:sz w:val="20"/>
                <w:szCs w:val="20"/>
                <w:lang w:eastAsia="es-ES"/>
              </w:rPr>
            </w:pPr>
            <w:r w:rsidRPr="009850FD">
              <w:rPr>
                <w:rFonts w:ascii="Arial" w:eastAsia="Times New Roman" w:hAnsi="Arial" w:cs="Arial"/>
                <w:sz w:val="20"/>
                <w:szCs w:val="20"/>
                <w:lang w:eastAsia="es-ES"/>
              </w:rPr>
              <w:t xml:space="preserve"> Se cuenta en forma parcial con el equipo necesario (cámara digital, GPS y equipo de cómputo) para las inspecciones. </w:t>
            </w:r>
          </w:p>
        </w:tc>
      </w:tr>
      <w:tr w:rsidR="009850FD" w:rsidRPr="009850FD" w:rsidTr="002D5BDD">
        <w:trPr>
          <w:trHeight w:val="471"/>
        </w:trPr>
        <w:tc>
          <w:tcPr>
            <w:tcW w:w="2358" w:type="pct"/>
            <w:shd w:val="clear" w:color="auto" w:fill="auto"/>
            <w:hideMark/>
          </w:tcPr>
          <w:p w:rsidR="009850FD" w:rsidRPr="009850FD" w:rsidRDefault="009850FD" w:rsidP="009850FD">
            <w:pPr>
              <w:spacing w:after="0" w:line="240" w:lineRule="auto"/>
              <w:jc w:val="both"/>
              <w:rPr>
                <w:rFonts w:ascii="Arial" w:eastAsia="Times New Roman" w:hAnsi="Arial" w:cs="Arial"/>
                <w:b/>
                <w:sz w:val="20"/>
                <w:szCs w:val="20"/>
                <w:lang w:eastAsia="es-ES"/>
              </w:rPr>
            </w:pPr>
            <w:r w:rsidRPr="009850FD">
              <w:rPr>
                <w:rFonts w:ascii="Arial" w:eastAsia="Times New Roman" w:hAnsi="Arial" w:cs="Arial"/>
                <w:b/>
                <w:sz w:val="20"/>
                <w:szCs w:val="20"/>
                <w:lang w:eastAsia="es-ES"/>
              </w:rPr>
              <w:t>c) Medidas correctivas o acciones de mejora (realizadas y por realizar) para el logro de la meta:</w:t>
            </w:r>
          </w:p>
        </w:tc>
        <w:tc>
          <w:tcPr>
            <w:tcW w:w="2642" w:type="pct"/>
            <w:shd w:val="clear" w:color="auto" w:fill="auto"/>
          </w:tcPr>
          <w:p w:rsidR="009850FD" w:rsidRPr="009850FD" w:rsidRDefault="009850FD" w:rsidP="009850FD">
            <w:pPr>
              <w:spacing w:after="0" w:line="240" w:lineRule="auto"/>
              <w:jc w:val="both"/>
              <w:rPr>
                <w:rFonts w:ascii="Arial" w:eastAsia="Times New Roman" w:hAnsi="Arial" w:cs="Arial"/>
                <w:sz w:val="20"/>
                <w:szCs w:val="20"/>
                <w:lang w:eastAsia="es-ES"/>
              </w:rPr>
            </w:pPr>
            <w:r w:rsidRPr="009850FD">
              <w:rPr>
                <w:rFonts w:ascii="Arial" w:eastAsia="Times New Roman" w:hAnsi="Arial" w:cs="Arial"/>
                <w:sz w:val="20"/>
                <w:szCs w:val="20"/>
                <w:lang w:eastAsia="es-ES"/>
              </w:rPr>
              <w:t>- Se solicitó la cámara digital, el GPS y equipo de cómputo a la Unidad de Adquisiciones y Contrataciones y a finales del 2017 se instaló una computadora en la unidad.</w:t>
            </w:r>
          </w:p>
        </w:tc>
      </w:tr>
    </w:tbl>
    <w:p w:rsidR="009850FD" w:rsidRPr="009850FD" w:rsidRDefault="009850FD" w:rsidP="009850FD">
      <w:pPr>
        <w:spacing w:after="0" w:line="240" w:lineRule="auto"/>
        <w:jc w:val="both"/>
        <w:rPr>
          <w:rFonts w:ascii="Arial" w:eastAsia="Times New Roman" w:hAnsi="Arial" w:cs="Arial"/>
          <w:b/>
          <w:sz w:val="20"/>
          <w:szCs w:val="20"/>
          <w:lang w:eastAsia="es-ES"/>
        </w:rPr>
      </w:pPr>
    </w:p>
    <w:p w:rsidR="009850FD" w:rsidRPr="0028677A" w:rsidRDefault="009850FD" w:rsidP="009850FD">
      <w:pPr>
        <w:spacing w:after="0" w:line="240" w:lineRule="auto"/>
        <w:jc w:val="both"/>
        <w:rPr>
          <w:rFonts w:ascii="Arial" w:eastAsia="Times New Roman" w:hAnsi="Arial" w:cs="Arial"/>
          <w:sz w:val="18"/>
          <w:szCs w:val="18"/>
          <w:lang w:eastAsia="es-ES"/>
        </w:rPr>
      </w:pPr>
      <w:r w:rsidRPr="0028677A">
        <w:rPr>
          <w:rFonts w:ascii="Arial" w:eastAsia="Times New Roman" w:hAnsi="Arial" w:cs="Arial"/>
          <w:sz w:val="18"/>
          <w:szCs w:val="18"/>
          <w:lang w:eastAsia="es-ES"/>
        </w:rPr>
        <w:t>Nota Fuente: Informe de rendimiento de cuentas de área. (2017)</w:t>
      </w:r>
    </w:p>
    <w:p w:rsidR="00DA62C0" w:rsidRPr="009850FD" w:rsidRDefault="00DA62C0">
      <w:pPr>
        <w:rPr>
          <w:rFonts w:ascii="Arial" w:eastAsia="Times New Roman" w:hAnsi="Arial" w:cs="Arial"/>
          <w:sz w:val="18"/>
          <w:szCs w:val="18"/>
          <w:lang w:val="es-ES" w:eastAsia="es-ES"/>
        </w:rPr>
      </w:pPr>
    </w:p>
    <w:p w:rsidR="00DA62C0" w:rsidRDefault="00DA62C0">
      <w:pPr>
        <w:rPr>
          <w:rFonts w:ascii="Arial" w:eastAsia="Times New Roman" w:hAnsi="Arial" w:cs="Arial"/>
          <w:sz w:val="20"/>
          <w:szCs w:val="20"/>
          <w:lang w:val="es-ES" w:eastAsia="es-ES"/>
        </w:rPr>
      </w:pPr>
      <w:r>
        <w:rPr>
          <w:rFonts w:ascii="Arial" w:eastAsia="Times New Roman" w:hAnsi="Arial" w:cs="Arial"/>
          <w:sz w:val="20"/>
          <w:szCs w:val="20"/>
          <w:lang w:val="es-ES" w:eastAsia="es-ES"/>
        </w:rPr>
        <w:br w:type="page"/>
      </w:r>
    </w:p>
    <w:p w:rsidR="00A24CF2" w:rsidRDefault="00A24CF2" w:rsidP="00A24CF2">
      <w:pPr>
        <w:spacing w:after="0" w:line="240" w:lineRule="auto"/>
        <w:jc w:val="both"/>
        <w:rPr>
          <w:rFonts w:ascii="Arial" w:eastAsia="Times New Roman" w:hAnsi="Arial" w:cs="Arial"/>
          <w:bCs/>
          <w:sz w:val="20"/>
          <w:szCs w:val="20"/>
          <w:lang w:eastAsia="es-CR"/>
        </w:rPr>
      </w:pPr>
    </w:p>
    <w:p w:rsidR="00A24CF2" w:rsidRPr="00A24CF2" w:rsidRDefault="00A24CF2" w:rsidP="00A24CF2">
      <w:pPr>
        <w:spacing w:after="0" w:line="240" w:lineRule="auto"/>
        <w:jc w:val="both"/>
        <w:rPr>
          <w:rFonts w:ascii="Arial" w:eastAsia="Times New Roman" w:hAnsi="Arial" w:cs="Arial"/>
          <w:bCs/>
          <w:sz w:val="20"/>
          <w:szCs w:val="20"/>
          <w:lang w:eastAsia="es-CR"/>
        </w:rPr>
      </w:pPr>
      <w:r w:rsidRPr="00A24CF2">
        <w:rPr>
          <w:rFonts w:ascii="Arial" w:eastAsia="Times New Roman" w:hAnsi="Arial" w:cs="Arial"/>
          <w:bCs/>
          <w:sz w:val="20"/>
          <w:szCs w:val="20"/>
          <w:lang w:eastAsia="es-CR"/>
        </w:rPr>
        <w:t>El Programa II cuenta con un total de 9 metas como se puede observar en el cuadro y gráfico siguiente, donde la meta se cumplió en 6 indicadores (67%) y en 3 indicadores (33%) se cumplió en forma parcial.</w:t>
      </w:r>
    </w:p>
    <w:p w:rsidR="00A24CF2" w:rsidRPr="00A24CF2" w:rsidRDefault="00A24CF2" w:rsidP="00A24CF2">
      <w:pPr>
        <w:spacing w:after="0" w:line="240" w:lineRule="auto"/>
        <w:jc w:val="both"/>
        <w:rPr>
          <w:rFonts w:ascii="Arial" w:eastAsia="Times New Roman" w:hAnsi="Arial" w:cs="Arial"/>
          <w:bCs/>
          <w:sz w:val="20"/>
          <w:szCs w:val="20"/>
          <w:lang w:eastAsia="es-CR"/>
        </w:rPr>
      </w:pPr>
    </w:p>
    <w:tbl>
      <w:tblPr>
        <w:tblW w:w="7165" w:type="dxa"/>
        <w:jc w:val="center"/>
        <w:tblCellMar>
          <w:left w:w="70" w:type="dxa"/>
          <w:right w:w="70" w:type="dxa"/>
        </w:tblCellMar>
        <w:tblLook w:val="04A0" w:firstRow="1" w:lastRow="0" w:firstColumn="1" w:lastColumn="0" w:noHBand="0" w:noVBand="1"/>
      </w:tblPr>
      <w:tblGrid>
        <w:gridCol w:w="1200"/>
        <w:gridCol w:w="1419"/>
        <w:gridCol w:w="1200"/>
        <w:gridCol w:w="1386"/>
        <w:gridCol w:w="1960"/>
      </w:tblGrid>
      <w:tr w:rsidR="00A24CF2" w:rsidRPr="00A24CF2" w:rsidTr="002D5BDD">
        <w:trPr>
          <w:trHeight w:val="615"/>
          <w:jc w:val="center"/>
        </w:trPr>
        <w:tc>
          <w:tcPr>
            <w:tcW w:w="7165" w:type="dxa"/>
            <w:gridSpan w:val="5"/>
            <w:tcBorders>
              <w:top w:val="nil"/>
              <w:left w:val="nil"/>
              <w:bottom w:val="single" w:sz="4" w:space="0" w:color="auto"/>
              <w:right w:val="nil"/>
            </w:tcBorders>
            <w:shd w:val="clear" w:color="auto" w:fill="auto"/>
            <w:vAlign w:val="bottom"/>
            <w:hideMark/>
          </w:tcPr>
          <w:p w:rsidR="00A24CF2" w:rsidRPr="00A24CF2" w:rsidRDefault="00A24CF2" w:rsidP="00BC1DD5">
            <w:pPr>
              <w:spacing w:after="0" w:line="240" w:lineRule="auto"/>
              <w:jc w:val="center"/>
              <w:rPr>
                <w:rFonts w:ascii="Arial" w:eastAsia="Times New Roman" w:hAnsi="Arial" w:cs="Arial"/>
                <w:b/>
                <w:bCs/>
                <w:sz w:val="20"/>
                <w:szCs w:val="20"/>
                <w:lang w:eastAsia="es-CR"/>
              </w:rPr>
            </w:pPr>
            <w:r w:rsidRPr="00A24CF2">
              <w:rPr>
                <w:rFonts w:ascii="Arial" w:eastAsia="Times New Roman" w:hAnsi="Arial" w:cs="Arial"/>
                <w:b/>
                <w:bCs/>
                <w:sz w:val="20"/>
                <w:szCs w:val="20"/>
                <w:lang w:eastAsia="es-CR"/>
              </w:rPr>
              <w:t xml:space="preserve">Cuadro </w:t>
            </w:r>
            <w:r w:rsidR="00BC1DD5">
              <w:rPr>
                <w:rFonts w:ascii="Arial" w:eastAsia="Times New Roman" w:hAnsi="Arial" w:cs="Arial"/>
                <w:b/>
                <w:bCs/>
                <w:sz w:val="20"/>
                <w:szCs w:val="20"/>
                <w:lang w:eastAsia="es-CR"/>
              </w:rPr>
              <w:t>9</w:t>
            </w:r>
            <w:r w:rsidRPr="00A24CF2">
              <w:rPr>
                <w:rFonts w:ascii="Arial" w:eastAsia="Times New Roman" w:hAnsi="Arial" w:cs="Arial"/>
                <w:b/>
                <w:bCs/>
                <w:sz w:val="20"/>
                <w:szCs w:val="20"/>
                <w:lang w:eastAsia="es-CR"/>
              </w:rPr>
              <w:t xml:space="preserve"> Comportamiento de las Metas del Programa II</w:t>
            </w:r>
            <w:r w:rsidRPr="00A24CF2">
              <w:rPr>
                <w:rFonts w:ascii="Arial" w:eastAsia="Times New Roman" w:hAnsi="Arial" w:cs="Arial"/>
                <w:b/>
                <w:bCs/>
                <w:sz w:val="20"/>
                <w:szCs w:val="20"/>
                <w:lang w:eastAsia="es-CR"/>
              </w:rPr>
              <w:br/>
              <w:t>Enero - diciembre 2017</w:t>
            </w:r>
          </w:p>
        </w:tc>
      </w:tr>
      <w:tr w:rsidR="00A24CF2" w:rsidRPr="00A24CF2" w:rsidTr="002D5BDD">
        <w:trPr>
          <w:trHeight w:val="300"/>
          <w:jc w:val="center"/>
        </w:trPr>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A24CF2" w:rsidRPr="00A24CF2" w:rsidRDefault="00A24CF2" w:rsidP="00A24CF2">
            <w:pPr>
              <w:spacing w:after="0" w:line="240" w:lineRule="auto"/>
              <w:jc w:val="center"/>
              <w:rPr>
                <w:rFonts w:ascii="Arial" w:eastAsia="Times New Roman" w:hAnsi="Arial" w:cs="Arial"/>
                <w:b/>
                <w:bCs/>
                <w:sz w:val="20"/>
                <w:szCs w:val="20"/>
                <w:lang w:eastAsia="es-CR"/>
              </w:rPr>
            </w:pPr>
            <w:r w:rsidRPr="00A24CF2">
              <w:rPr>
                <w:rFonts w:ascii="Arial" w:eastAsia="Times New Roman" w:hAnsi="Arial" w:cs="Arial"/>
                <w:b/>
                <w:bCs/>
                <w:sz w:val="20"/>
                <w:szCs w:val="20"/>
                <w:lang w:eastAsia="es-CR"/>
              </w:rPr>
              <w:t>Valor / Metas</w:t>
            </w:r>
          </w:p>
        </w:tc>
        <w:tc>
          <w:tcPr>
            <w:tcW w:w="5965" w:type="dxa"/>
            <w:gridSpan w:val="4"/>
            <w:tcBorders>
              <w:top w:val="single" w:sz="4" w:space="0" w:color="auto"/>
              <w:left w:val="nil"/>
              <w:bottom w:val="single" w:sz="4" w:space="0" w:color="auto"/>
              <w:right w:val="single" w:sz="4" w:space="0" w:color="auto"/>
            </w:tcBorders>
            <w:shd w:val="clear" w:color="auto" w:fill="auto"/>
            <w:vAlign w:val="bottom"/>
            <w:hideMark/>
          </w:tcPr>
          <w:p w:rsidR="00A24CF2" w:rsidRPr="00A24CF2" w:rsidRDefault="00A24CF2" w:rsidP="00A24CF2">
            <w:pPr>
              <w:spacing w:after="0" w:line="240" w:lineRule="auto"/>
              <w:jc w:val="center"/>
              <w:rPr>
                <w:rFonts w:ascii="Arial" w:eastAsia="Times New Roman" w:hAnsi="Arial" w:cs="Arial"/>
                <w:b/>
                <w:bCs/>
                <w:sz w:val="20"/>
                <w:szCs w:val="20"/>
                <w:lang w:eastAsia="es-CR"/>
              </w:rPr>
            </w:pPr>
            <w:r w:rsidRPr="00A24CF2">
              <w:rPr>
                <w:rFonts w:ascii="Arial" w:eastAsia="Times New Roman" w:hAnsi="Arial" w:cs="Arial"/>
                <w:b/>
                <w:bCs/>
                <w:sz w:val="20"/>
                <w:szCs w:val="20"/>
                <w:lang w:eastAsia="es-CR"/>
              </w:rPr>
              <w:t>Metas</w:t>
            </w:r>
          </w:p>
        </w:tc>
      </w:tr>
      <w:tr w:rsidR="00A24CF2" w:rsidRPr="00A24CF2" w:rsidTr="002D5BDD">
        <w:trPr>
          <w:trHeight w:val="510"/>
          <w:jc w:val="center"/>
        </w:trPr>
        <w:tc>
          <w:tcPr>
            <w:tcW w:w="1200" w:type="dxa"/>
            <w:vMerge/>
            <w:tcBorders>
              <w:top w:val="nil"/>
              <w:left w:val="single" w:sz="4" w:space="0" w:color="auto"/>
              <w:bottom w:val="single" w:sz="4" w:space="0" w:color="auto"/>
              <w:right w:val="single" w:sz="4" w:space="0" w:color="auto"/>
            </w:tcBorders>
            <w:vAlign w:val="center"/>
            <w:hideMark/>
          </w:tcPr>
          <w:p w:rsidR="00A24CF2" w:rsidRPr="00A24CF2" w:rsidRDefault="00A24CF2" w:rsidP="00A24CF2">
            <w:pPr>
              <w:spacing w:after="0" w:line="240" w:lineRule="auto"/>
              <w:jc w:val="center"/>
              <w:rPr>
                <w:rFonts w:ascii="Arial" w:eastAsia="Times New Roman" w:hAnsi="Arial" w:cs="Arial"/>
                <w:b/>
                <w:bCs/>
                <w:sz w:val="20"/>
                <w:szCs w:val="20"/>
                <w:lang w:eastAsia="es-CR"/>
              </w:rPr>
            </w:pPr>
          </w:p>
        </w:tc>
        <w:tc>
          <w:tcPr>
            <w:tcW w:w="1419" w:type="dxa"/>
            <w:tcBorders>
              <w:top w:val="nil"/>
              <w:left w:val="nil"/>
              <w:bottom w:val="single" w:sz="4" w:space="0" w:color="auto"/>
              <w:right w:val="single" w:sz="4" w:space="0" w:color="auto"/>
            </w:tcBorders>
            <w:shd w:val="clear" w:color="auto" w:fill="auto"/>
            <w:vAlign w:val="center"/>
            <w:hideMark/>
          </w:tcPr>
          <w:p w:rsidR="00A24CF2" w:rsidRPr="00A24CF2" w:rsidRDefault="00A24CF2" w:rsidP="00A24CF2">
            <w:pPr>
              <w:spacing w:after="0" w:line="240" w:lineRule="auto"/>
              <w:jc w:val="center"/>
              <w:rPr>
                <w:rFonts w:ascii="Arial" w:eastAsia="Times New Roman" w:hAnsi="Arial" w:cs="Arial"/>
                <w:b/>
                <w:bCs/>
                <w:sz w:val="20"/>
                <w:szCs w:val="20"/>
                <w:lang w:eastAsia="es-CR"/>
              </w:rPr>
            </w:pPr>
            <w:r w:rsidRPr="00A24CF2">
              <w:rPr>
                <w:rFonts w:ascii="Arial" w:eastAsia="Times New Roman" w:hAnsi="Arial" w:cs="Arial"/>
                <w:b/>
                <w:bCs/>
                <w:sz w:val="20"/>
                <w:szCs w:val="20"/>
                <w:lang w:eastAsia="es-CR"/>
              </w:rPr>
              <w:t>Programadas</w:t>
            </w:r>
          </w:p>
        </w:tc>
        <w:tc>
          <w:tcPr>
            <w:tcW w:w="1200" w:type="dxa"/>
            <w:tcBorders>
              <w:top w:val="nil"/>
              <w:left w:val="nil"/>
              <w:bottom w:val="single" w:sz="4" w:space="0" w:color="auto"/>
              <w:right w:val="single" w:sz="4" w:space="0" w:color="auto"/>
            </w:tcBorders>
            <w:shd w:val="clear" w:color="auto" w:fill="auto"/>
            <w:vAlign w:val="center"/>
            <w:hideMark/>
          </w:tcPr>
          <w:p w:rsidR="00A24CF2" w:rsidRPr="00A24CF2" w:rsidRDefault="00A24CF2" w:rsidP="00A24CF2">
            <w:pPr>
              <w:spacing w:after="0" w:line="240" w:lineRule="auto"/>
              <w:jc w:val="center"/>
              <w:rPr>
                <w:rFonts w:ascii="Arial" w:eastAsia="Times New Roman" w:hAnsi="Arial" w:cs="Arial"/>
                <w:b/>
                <w:bCs/>
                <w:sz w:val="20"/>
                <w:szCs w:val="20"/>
                <w:lang w:eastAsia="es-CR"/>
              </w:rPr>
            </w:pPr>
            <w:r w:rsidRPr="00A24CF2">
              <w:rPr>
                <w:rFonts w:ascii="Arial" w:eastAsia="Times New Roman" w:hAnsi="Arial" w:cs="Arial"/>
                <w:b/>
                <w:bCs/>
                <w:sz w:val="20"/>
                <w:szCs w:val="20"/>
                <w:lang w:eastAsia="es-CR"/>
              </w:rPr>
              <w:t>Cumplidas</w:t>
            </w:r>
          </w:p>
        </w:tc>
        <w:tc>
          <w:tcPr>
            <w:tcW w:w="1386" w:type="dxa"/>
            <w:tcBorders>
              <w:top w:val="nil"/>
              <w:left w:val="nil"/>
              <w:bottom w:val="single" w:sz="4" w:space="0" w:color="auto"/>
              <w:right w:val="single" w:sz="4" w:space="0" w:color="auto"/>
            </w:tcBorders>
            <w:shd w:val="clear" w:color="auto" w:fill="auto"/>
            <w:vAlign w:val="center"/>
            <w:hideMark/>
          </w:tcPr>
          <w:p w:rsidR="00A24CF2" w:rsidRPr="00A24CF2" w:rsidRDefault="00A24CF2" w:rsidP="00A24CF2">
            <w:pPr>
              <w:spacing w:after="0" w:line="240" w:lineRule="auto"/>
              <w:jc w:val="center"/>
              <w:rPr>
                <w:rFonts w:ascii="Arial" w:eastAsia="Times New Roman" w:hAnsi="Arial" w:cs="Arial"/>
                <w:b/>
                <w:bCs/>
                <w:sz w:val="20"/>
                <w:szCs w:val="20"/>
                <w:lang w:eastAsia="es-CR"/>
              </w:rPr>
            </w:pPr>
            <w:r w:rsidRPr="00A24CF2">
              <w:rPr>
                <w:rFonts w:ascii="Arial" w:eastAsia="Times New Roman" w:hAnsi="Arial" w:cs="Arial"/>
                <w:b/>
                <w:bCs/>
                <w:sz w:val="20"/>
                <w:szCs w:val="20"/>
                <w:lang w:eastAsia="es-CR"/>
              </w:rPr>
              <w:t>Parcialmente</w:t>
            </w:r>
          </w:p>
          <w:p w:rsidR="00A24CF2" w:rsidRPr="00A24CF2" w:rsidRDefault="00A24CF2" w:rsidP="00A24CF2">
            <w:pPr>
              <w:spacing w:after="0" w:line="240" w:lineRule="auto"/>
              <w:jc w:val="center"/>
              <w:rPr>
                <w:rFonts w:ascii="Arial" w:eastAsia="Times New Roman" w:hAnsi="Arial" w:cs="Arial"/>
                <w:b/>
                <w:bCs/>
                <w:sz w:val="20"/>
                <w:szCs w:val="20"/>
                <w:lang w:eastAsia="es-CR"/>
              </w:rPr>
            </w:pPr>
            <w:r w:rsidRPr="00A24CF2">
              <w:rPr>
                <w:rFonts w:ascii="Arial" w:eastAsia="Times New Roman" w:hAnsi="Arial" w:cs="Arial"/>
                <w:b/>
                <w:bCs/>
                <w:sz w:val="20"/>
                <w:szCs w:val="20"/>
                <w:lang w:eastAsia="es-CR"/>
              </w:rPr>
              <w:t>Cumplidas</w:t>
            </w:r>
          </w:p>
        </w:tc>
        <w:tc>
          <w:tcPr>
            <w:tcW w:w="1960" w:type="dxa"/>
            <w:tcBorders>
              <w:top w:val="nil"/>
              <w:left w:val="nil"/>
              <w:bottom w:val="single" w:sz="4" w:space="0" w:color="auto"/>
              <w:right w:val="single" w:sz="4" w:space="0" w:color="auto"/>
            </w:tcBorders>
            <w:shd w:val="clear" w:color="auto" w:fill="auto"/>
            <w:vAlign w:val="center"/>
            <w:hideMark/>
          </w:tcPr>
          <w:p w:rsidR="00A24CF2" w:rsidRPr="00A24CF2" w:rsidRDefault="00A24CF2" w:rsidP="00A24CF2">
            <w:pPr>
              <w:spacing w:after="0" w:line="240" w:lineRule="auto"/>
              <w:jc w:val="center"/>
              <w:rPr>
                <w:rFonts w:ascii="Arial" w:eastAsia="Times New Roman" w:hAnsi="Arial" w:cs="Arial"/>
                <w:b/>
                <w:bCs/>
                <w:sz w:val="20"/>
                <w:szCs w:val="20"/>
                <w:lang w:eastAsia="es-CR"/>
              </w:rPr>
            </w:pPr>
            <w:r w:rsidRPr="00A24CF2">
              <w:rPr>
                <w:rFonts w:ascii="Arial" w:eastAsia="Times New Roman" w:hAnsi="Arial" w:cs="Arial"/>
                <w:b/>
                <w:bCs/>
                <w:sz w:val="20"/>
                <w:szCs w:val="20"/>
                <w:lang w:eastAsia="es-CR"/>
              </w:rPr>
              <w:t>Incumplidas</w:t>
            </w:r>
          </w:p>
        </w:tc>
      </w:tr>
      <w:tr w:rsidR="00A24CF2" w:rsidRPr="00A24CF2" w:rsidTr="002D5BDD">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24CF2" w:rsidRPr="00A24CF2" w:rsidRDefault="00A24CF2" w:rsidP="00A24CF2">
            <w:pPr>
              <w:spacing w:after="0" w:line="240" w:lineRule="auto"/>
              <w:jc w:val="both"/>
              <w:rPr>
                <w:rFonts w:ascii="Arial" w:eastAsia="Times New Roman" w:hAnsi="Arial" w:cs="Arial"/>
                <w:bCs/>
                <w:sz w:val="20"/>
                <w:szCs w:val="20"/>
                <w:lang w:eastAsia="es-CR"/>
              </w:rPr>
            </w:pPr>
            <w:r w:rsidRPr="00A24CF2">
              <w:rPr>
                <w:rFonts w:ascii="Arial" w:eastAsia="Times New Roman" w:hAnsi="Arial" w:cs="Arial"/>
                <w:bCs/>
                <w:sz w:val="20"/>
                <w:szCs w:val="20"/>
                <w:lang w:eastAsia="es-CR"/>
              </w:rPr>
              <w:t xml:space="preserve">Absoluto </w:t>
            </w:r>
          </w:p>
        </w:tc>
        <w:tc>
          <w:tcPr>
            <w:tcW w:w="1419" w:type="dxa"/>
            <w:tcBorders>
              <w:top w:val="nil"/>
              <w:left w:val="nil"/>
              <w:bottom w:val="single" w:sz="4" w:space="0" w:color="auto"/>
              <w:right w:val="single" w:sz="4" w:space="0" w:color="auto"/>
            </w:tcBorders>
            <w:shd w:val="clear" w:color="auto" w:fill="auto"/>
            <w:noWrap/>
            <w:vAlign w:val="bottom"/>
          </w:tcPr>
          <w:p w:rsidR="00A24CF2" w:rsidRPr="00A24CF2" w:rsidRDefault="00A24CF2" w:rsidP="0028677A">
            <w:pPr>
              <w:spacing w:after="0" w:line="240" w:lineRule="auto"/>
              <w:jc w:val="center"/>
              <w:rPr>
                <w:rFonts w:ascii="Arial" w:eastAsia="Times New Roman" w:hAnsi="Arial" w:cs="Arial"/>
                <w:bCs/>
                <w:sz w:val="20"/>
                <w:szCs w:val="20"/>
                <w:lang w:eastAsia="es-CR"/>
              </w:rPr>
            </w:pPr>
            <w:r w:rsidRPr="00A24CF2">
              <w:rPr>
                <w:rFonts w:ascii="Arial" w:eastAsia="Times New Roman" w:hAnsi="Arial" w:cs="Arial"/>
                <w:bCs/>
                <w:sz w:val="20"/>
                <w:szCs w:val="20"/>
                <w:lang w:eastAsia="es-CR"/>
              </w:rPr>
              <w:t>9</w:t>
            </w:r>
          </w:p>
        </w:tc>
        <w:tc>
          <w:tcPr>
            <w:tcW w:w="1200" w:type="dxa"/>
            <w:tcBorders>
              <w:top w:val="nil"/>
              <w:left w:val="nil"/>
              <w:bottom w:val="single" w:sz="4" w:space="0" w:color="auto"/>
              <w:right w:val="single" w:sz="4" w:space="0" w:color="auto"/>
            </w:tcBorders>
            <w:shd w:val="clear" w:color="auto" w:fill="auto"/>
            <w:noWrap/>
            <w:vAlign w:val="bottom"/>
          </w:tcPr>
          <w:p w:rsidR="00A24CF2" w:rsidRPr="00A24CF2" w:rsidRDefault="00A24CF2" w:rsidP="0028677A">
            <w:pPr>
              <w:spacing w:after="0" w:line="240" w:lineRule="auto"/>
              <w:jc w:val="center"/>
              <w:rPr>
                <w:rFonts w:ascii="Arial" w:eastAsia="Times New Roman" w:hAnsi="Arial" w:cs="Arial"/>
                <w:bCs/>
                <w:sz w:val="20"/>
                <w:szCs w:val="20"/>
                <w:lang w:eastAsia="es-CR"/>
              </w:rPr>
            </w:pPr>
            <w:r w:rsidRPr="00A24CF2">
              <w:rPr>
                <w:rFonts w:ascii="Arial" w:eastAsia="Times New Roman" w:hAnsi="Arial" w:cs="Arial"/>
                <w:bCs/>
                <w:sz w:val="20"/>
                <w:szCs w:val="20"/>
                <w:lang w:eastAsia="es-CR"/>
              </w:rPr>
              <w:t>6</w:t>
            </w:r>
          </w:p>
        </w:tc>
        <w:tc>
          <w:tcPr>
            <w:tcW w:w="1386" w:type="dxa"/>
            <w:tcBorders>
              <w:top w:val="nil"/>
              <w:left w:val="nil"/>
              <w:bottom w:val="single" w:sz="4" w:space="0" w:color="auto"/>
              <w:right w:val="single" w:sz="4" w:space="0" w:color="auto"/>
            </w:tcBorders>
            <w:shd w:val="clear" w:color="auto" w:fill="auto"/>
            <w:noWrap/>
            <w:vAlign w:val="bottom"/>
          </w:tcPr>
          <w:p w:rsidR="00A24CF2" w:rsidRPr="00A24CF2" w:rsidRDefault="00A24CF2" w:rsidP="0028677A">
            <w:pPr>
              <w:spacing w:after="0" w:line="240" w:lineRule="auto"/>
              <w:jc w:val="center"/>
              <w:rPr>
                <w:rFonts w:ascii="Arial" w:eastAsia="Times New Roman" w:hAnsi="Arial" w:cs="Arial"/>
                <w:bCs/>
                <w:sz w:val="20"/>
                <w:szCs w:val="20"/>
                <w:lang w:eastAsia="es-CR"/>
              </w:rPr>
            </w:pPr>
            <w:r w:rsidRPr="00A24CF2">
              <w:rPr>
                <w:rFonts w:ascii="Arial" w:eastAsia="Times New Roman" w:hAnsi="Arial" w:cs="Arial"/>
                <w:bCs/>
                <w:sz w:val="20"/>
                <w:szCs w:val="20"/>
                <w:lang w:eastAsia="es-CR"/>
              </w:rPr>
              <w:t>3</w:t>
            </w:r>
          </w:p>
        </w:tc>
        <w:tc>
          <w:tcPr>
            <w:tcW w:w="1960" w:type="dxa"/>
            <w:tcBorders>
              <w:top w:val="nil"/>
              <w:left w:val="nil"/>
              <w:bottom w:val="single" w:sz="4" w:space="0" w:color="auto"/>
              <w:right w:val="single" w:sz="4" w:space="0" w:color="auto"/>
            </w:tcBorders>
            <w:shd w:val="clear" w:color="auto" w:fill="auto"/>
            <w:noWrap/>
            <w:vAlign w:val="bottom"/>
          </w:tcPr>
          <w:p w:rsidR="00A24CF2" w:rsidRPr="00A24CF2" w:rsidRDefault="00A24CF2" w:rsidP="0028677A">
            <w:pPr>
              <w:spacing w:after="0" w:line="240" w:lineRule="auto"/>
              <w:jc w:val="center"/>
              <w:rPr>
                <w:rFonts w:ascii="Arial" w:eastAsia="Times New Roman" w:hAnsi="Arial" w:cs="Arial"/>
                <w:bCs/>
                <w:sz w:val="20"/>
                <w:szCs w:val="20"/>
                <w:lang w:eastAsia="es-CR"/>
              </w:rPr>
            </w:pPr>
          </w:p>
        </w:tc>
      </w:tr>
      <w:tr w:rsidR="00A24CF2" w:rsidRPr="00A24CF2" w:rsidTr="002D5BDD">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24CF2" w:rsidRPr="00A24CF2" w:rsidRDefault="00A24CF2" w:rsidP="00A24CF2">
            <w:pPr>
              <w:spacing w:after="0" w:line="240" w:lineRule="auto"/>
              <w:jc w:val="both"/>
              <w:rPr>
                <w:rFonts w:ascii="Arial" w:eastAsia="Times New Roman" w:hAnsi="Arial" w:cs="Arial"/>
                <w:bCs/>
                <w:sz w:val="20"/>
                <w:szCs w:val="20"/>
                <w:lang w:eastAsia="es-CR"/>
              </w:rPr>
            </w:pPr>
            <w:r w:rsidRPr="00A24CF2">
              <w:rPr>
                <w:rFonts w:ascii="Arial" w:eastAsia="Times New Roman" w:hAnsi="Arial" w:cs="Arial"/>
                <w:bCs/>
                <w:sz w:val="20"/>
                <w:szCs w:val="20"/>
                <w:lang w:eastAsia="es-CR"/>
              </w:rPr>
              <w:t>Porcentual</w:t>
            </w:r>
          </w:p>
        </w:tc>
        <w:tc>
          <w:tcPr>
            <w:tcW w:w="1419" w:type="dxa"/>
            <w:tcBorders>
              <w:top w:val="nil"/>
              <w:left w:val="nil"/>
              <w:bottom w:val="single" w:sz="4" w:space="0" w:color="auto"/>
              <w:right w:val="single" w:sz="4" w:space="0" w:color="auto"/>
            </w:tcBorders>
            <w:shd w:val="clear" w:color="auto" w:fill="auto"/>
            <w:noWrap/>
            <w:vAlign w:val="bottom"/>
          </w:tcPr>
          <w:p w:rsidR="00A24CF2" w:rsidRPr="00A24CF2" w:rsidRDefault="00A24CF2" w:rsidP="0028677A">
            <w:pPr>
              <w:spacing w:after="0" w:line="240" w:lineRule="auto"/>
              <w:jc w:val="center"/>
              <w:rPr>
                <w:rFonts w:ascii="Arial" w:eastAsia="Times New Roman" w:hAnsi="Arial" w:cs="Arial"/>
                <w:bCs/>
                <w:sz w:val="20"/>
                <w:szCs w:val="20"/>
                <w:lang w:eastAsia="es-CR"/>
              </w:rPr>
            </w:pPr>
            <w:r w:rsidRPr="00A24CF2">
              <w:rPr>
                <w:rFonts w:ascii="Arial" w:eastAsia="Times New Roman" w:hAnsi="Arial" w:cs="Arial"/>
                <w:bCs/>
                <w:sz w:val="20"/>
                <w:szCs w:val="20"/>
                <w:lang w:eastAsia="es-CR"/>
              </w:rPr>
              <w:t>100%</w:t>
            </w:r>
          </w:p>
        </w:tc>
        <w:tc>
          <w:tcPr>
            <w:tcW w:w="1200" w:type="dxa"/>
            <w:tcBorders>
              <w:top w:val="nil"/>
              <w:left w:val="nil"/>
              <w:bottom w:val="single" w:sz="4" w:space="0" w:color="auto"/>
              <w:right w:val="single" w:sz="4" w:space="0" w:color="auto"/>
            </w:tcBorders>
            <w:shd w:val="clear" w:color="auto" w:fill="auto"/>
            <w:noWrap/>
            <w:vAlign w:val="bottom"/>
          </w:tcPr>
          <w:p w:rsidR="00A24CF2" w:rsidRPr="00A24CF2" w:rsidRDefault="00A24CF2" w:rsidP="0028677A">
            <w:pPr>
              <w:spacing w:after="0" w:line="240" w:lineRule="auto"/>
              <w:jc w:val="center"/>
              <w:rPr>
                <w:rFonts w:ascii="Arial" w:eastAsia="Times New Roman" w:hAnsi="Arial" w:cs="Arial"/>
                <w:bCs/>
                <w:sz w:val="20"/>
                <w:szCs w:val="20"/>
                <w:lang w:eastAsia="es-CR"/>
              </w:rPr>
            </w:pPr>
            <w:r w:rsidRPr="00A24CF2">
              <w:rPr>
                <w:rFonts w:ascii="Arial" w:eastAsia="Times New Roman" w:hAnsi="Arial" w:cs="Arial"/>
                <w:bCs/>
                <w:sz w:val="20"/>
                <w:szCs w:val="20"/>
                <w:lang w:eastAsia="es-CR"/>
              </w:rPr>
              <w:t>67%</w:t>
            </w:r>
          </w:p>
        </w:tc>
        <w:tc>
          <w:tcPr>
            <w:tcW w:w="1386" w:type="dxa"/>
            <w:tcBorders>
              <w:top w:val="nil"/>
              <w:left w:val="nil"/>
              <w:bottom w:val="single" w:sz="4" w:space="0" w:color="auto"/>
              <w:right w:val="single" w:sz="4" w:space="0" w:color="auto"/>
            </w:tcBorders>
            <w:shd w:val="clear" w:color="auto" w:fill="auto"/>
            <w:noWrap/>
            <w:vAlign w:val="bottom"/>
          </w:tcPr>
          <w:p w:rsidR="00A24CF2" w:rsidRPr="00A24CF2" w:rsidRDefault="00A24CF2" w:rsidP="0028677A">
            <w:pPr>
              <w:spacing w:after="0" w:line="240" w:lineRule="auto"/>
              <w:jc w:val="center"/>
              <w:rPr>
                <w:rFonts w:ascii="Arial" w:eastAsia="Times New Roman" w:hAnsi="Arial" w:cs="Arial"/>
                <w:bCs/>
                <w:sz w:val="20"/>
                <w:szCs w:val="20"/>
                <w:lang w:eastAsia="es-CR"/>
              </w:rPr>
            </w:pPr>
            <w:r w:rsidRPr="00A24CF2">
              <w:rPr>
                <w:rFonts w:ascii="Arial" w:eastAsia="Times New Roman" w:hAnsi="Arial" w:cs="Arial"/>
                <w:bCs/>
                <w:sz w:val="20"/>
                <w:szCs w:val="20"/>
                <w:lang w:eastAsia="es-CR"/>
              </w:rPr>
              <w:t>33%</w:t>
            </w:r>
          </w:p>
        </w:tc>
        <w:tc>
          <w:tcPr>
            <w:tcW w:w="1960" w:type="dxa"/>
            <w:tcBorders>
              <w:top w:val="nil"/>
              <w:left w:val="nil"/>
              <w:bottom w:val="single" w:sz="4" w:space="0" w:color="auto"/>
              <w:right w:val="single" w:sz="4" w:space="0" w:color="auto"/>
            </w:tcBorders>
            <w:shd w:val="clear" w:color="auto" w:fill="auto"/>
            <w:noWrap/>
            <w:vAlign w:val="bottom"/>
          </w:tcPr>
          <w:p w:rsidR="00A24CF2" w:rsidRPr="00A24CF2" w:rsidRDefault="00A24CF2" w:rsidP="0028677A">
            <w:pPr>
              <w:spacing w:after="0" w:line="240" w:lineRule="auto"/>
              <w:jc w:val="center"/>
              <w:rPr>
                <w:rFonts w:ascii="Arial" w:eastAsia="Times New Roman" w:hAnsi="Arial" w:cs="Arial"/>
                <w:bCs/>
                <w:sz w:val="20"/>
                <w:szCs w:val="20"/>
                <w:lang w:eastAsia="es-CR"/>
              </w:rPr>
            </w:pPr>
          </w:p>
        </w:tc>
      </w:tr>
      <w:tr w:rsidR="00A24CF2" w:rsidRPr="00A24CF2" w:rsidTr="002D5BDD">
        <w:trPr>
          <w:trHeight w:val="300"/>
          <w:jc w:val="center"/>
        </w:trPr>
        <w:tc>
          <w:tcPr>
            <w:tcW w:w="7165" w:type="dxa"/>
            <w:gridSpan w:val="5"/>
            <w:tcBorders>
              <w:top w:val="nil"/>
              <w:left w:val="nil"/>
              <w:bottom w:val="nil"/>
              <w:right w:val="nil"/>
            </w:tcBorders>
            <w:shd w:val="clear" w:color="auto" w:fill="auto"/>
            <w:noWrap/>
            <w:vAlign w:val="bottom"/>
            <w:hideMark/>
          </w:tcPr>
          <w:p w:rsidR="00A24CF2" w:rsidRPr="001E2626" w:rsidRDefault="00A24CF2" w:rsidP="00A24CF2">
            <w:pPr>
              <w:spacing w:after="0" w:line="240" w:lineRule="auto"/>
              <w:jc w:val="both"/>
              <w:rPr>
                <w:rFonts w:ascii="Arial" w:eastAsia="Times New Roman" w:hAnsi="Arial" w:cs="Arial"/>
                <w:bCs/>
                <w:sz w:val="18"/>
                <w:szCs w:val="18"/>
                <w:lang w:eastAsia="es-CR"/>
              </w:rPr>
            </w:pPr>
            <w:r w:rsidRPr="001E2626">
              <w:rPr>
                <w:rFonts w:ascii="Arial" w:eastAsia="Times New Roman" w:hAnsi="Arial" w:cs="Arial"/>
                <w:bCs/>
                <w:sz w:val="18"/>
                <w:szCs w:val="18"/>
                <w:lang w:eastAsia="es-CR"/>
              </w:rPr>
              <w:t>Fuente: Informe de rendimiento de cuentas del área. (2017)</w:t>
            </w:r>
          </w:p>
        </w:tc>
      </w:tr>
    </w:tbl>
    <w:p w:rsidR="00A24CF2" w:rsidRPr="00A24CF2" w:rsidRDefault="00A24CF2" w:rsidP="00A24CF2">
      <w:pPr>
        <w:spacing w:after="0" w:line="240" w:lineRule="auto"/>
        <w:jc w:val="both"/>
        <w:rPr>
          <w:rFonts w:ascii="Arial" w:eastAsia="Times New Roman" w:hAnsi="Arial" w:cs="Arial"/>
          <w:bCs/>
          <w:sz w:val="20"/>
          <w:szCs w:val="20"/>
          <w:lang w:eastAsia="es-CR"/>
        </w:rPr>
      </w:pPr>
    </w:p>
    <w:p w:rsidR="00A24CF2" w:rsidRPr="00A24CF2" w:rsidRDefault="00A24CF2" w:rsidP="00A24CF2">
      <w:pPr>
        <w:spacing w:after="0" w:line="240" w:lineRule="auto"/>
        <w:jc w:val="both"/>
        <w:rPr>
          <w:rFonts w:ascii="Arial" w:eastAsia="Times New Roman" w:hAnsi="Arial" w:cs="Arial"/>
          <w:bCs/>
          <w:sz w:val="20"/>
          <w:szCs w:val="20"/>
          <w:lang w:eastAsia="es-CR"/>
        </w:rPr>
      </w:pPr>
    </w:p>
    <w:p w:rsidR="00A24CF2" w:rsidRPr="00A24CF2" w:rsidRDefault="00A24CF2" w:rsidP="00A24CF2">
      <w:pPr>
        <w:spacing w:after="0" w:line="240" w:lineRule="auto"/>
        <w:jc w:val="both"/>
        <w:rPr>
          <w:rFonts w:ascii="Arial" w:eastAsia="Times New Roman" w:hAnsi="Arial" w:cs="Arial"/>
          <w:bCs/>
          <w:sz w:val="20"/>
          <w:szCs w:val="20"/>
          <w:lang w:eastAsia="es-CR"/>
        </w:rPr>
      </w:pPr>
    </w:p>
    <w:p w:rsidR="00A24CF2" w:rsidRPr="00A24CF2" w:rsidRDefault="00A24CF2" w:rsidP="00A24CF2">
      <w:pPr>
        <w:spacing w:after="0" w:line="240" w:lineRule="auto"/>
        <w:jc w:val="center"/>
        <w:rPr>
          <w:rFonts w:ascii="Arial" w:eastAsia="Times New Roman" w:hAnsi="Arial" w:cs="Arial"/>
          <w:bCs/>
          <w:sz w:val="20"/>
          <w:szCs w:val="20"/>
          <w:lang w:eastAsia="es-CR"/>
        </w:rPr>
      </w:pPr>
      <w:r w:rsidRPr="00A24CF2">
        <w:rPr>
          <w:rFonts w:ascii="Arial" w:eastAsia="Times New Roman" w:hAnsi="Arial" w:cs="Arial"/>
          <w:bCs/>
          <w:sz w:val="20"/>
          <w:szCs w:val="20"/>
          <w:lang w:eastAsia="es-CR"/>
        </w:rPr>
        <w:fldChar w:fldCharType="begin"/>
      </w:r>
      <w:r w:rsidRPr="00A24CF2">
        <w:rPr>
          <w:rFonts w:ascii="Arial" w:eastAsia="Times New Roman" w:hAnsi="Arial" w:cs="Arial"/>
          <w:bCs/>
          <w:sz w:val="20"/>
          <w:szCs w:val="20"/>
          <w:lang w:eastAsia="es-CR"/>
        </w:rPr>
        <w:instrText xml:space="preserve"> LINK Excel.Sheet.12 "" "" \a \p \* MERGEFORMAT </w:instrText>
      </w:r>
      <w:r w:rsidRPr="00A24CF2">
        <w:rPr>
          <w:rFonts w:ascii="Arial" w:eastAsia="Times New Roman" w:hAnsi="Arial" w:cs="Arial"/>
          <w:bCs/>
          <w:sz w:val="20"/>
          <w:szCs w:val="20"/>
          <w:lang w:eastAsia="es-CR"/>
        </w:rPr>
        <w:fldChar w:fldCharType="separate"/>
      </w:r>
      <w:r w:rsidR="00C16C06">
        <w:rPr>
          <w:rFonts w:ascii="Arial" w:eastAsia="Times New Roman" w:hAnsi="Arial" w:cs="Arial"/>
          <w:bCs/>
          <w:sz w:val="20"/>
          <w:szCs w:val="20"/>
          <w:lang w:eastAsia="es-CR"/>
        </w:rPr>
        <w:object w:dxaOrig="9829" w:dyaOrig="6376">
          <v:shape id="_x0000_i1068" type="#_x0000_t75" style="width:368.75pt;height:239.55pt" o:ole="">
            <v:imagedata r:id="rId21" o:title=""/>
          </v:shape>
        </w:object>
      </w:r>
      <w:r w:rsidRPr="00A24CF2">
        <w:rPr>
          <w:rFonts w:ascii="Arial" w:eastAsia="Times New Roman" w:hAnsi="Arial" w:cs="Arial"/>
          <w:bCs/>
          <w:sz w:val="20"/>
          <w:szCs w:val="20"/>
          <w:lang w:eastAsia="es-CR"/>
        </w:rPr>
        <w:fldChar w:fldCharType="end"/>
      </w:r>
    </w:p>
    <w:p w:rsidR="00A24CF2" w:rsidRPr="00A24CF2" w:rsidRDefault="00A24CF2" w:rsidP="00A24CF2">
      <w:pPr>
        <w:spacing w:after="0" w:line="240" w:lineRule="auto"/>
        <w:jc w:val="both"/>
        <w:rPr>
          <w:rFonts w:ascii="Arial" w:eastAsia="Times New Roman" w:hAnsi="Arial" w:cs="Arial"/>
          <w:bCs/>
          <w:sz w:val="20"/>
          <w:szCs w:val="20"/>
          <w:lang w:eastAsia="es-CR"/>
        </w:rPr>
      </w:pPr>
      <w:r w:rsidRPr="00A24CF2">
        <w:rPr>
          <w:rFonts w:ascii="Arial" w:eastAsia="Times New Roman" w:hAnsi="Arial" w:cs="Arial"/>
          <w:bCs/>
          <w:sz w:val="20"/>
          <w:szCs w:val="20"/>
          <w:lang w:eastAsia="es-CR"/>
        </w:rPr>
        <w:t xml:space="preserve">                </w:t>
      </w:r>
    </w:p>
    <w:p w:rsidR="00A24CF2" w:rsidRPr="001E2626" w:rsidRDefault="00A24CF2" w:rsidP="00A24CF2">
      <w:pPr>
        <w:spacing w:after="0" w:line="240" w:lineRule="auto"/>
        <w:jc w:val="both"/>
        <w:rPr>
          <w:rFonts w:ascii="Arial" w:eastAsia="Times New Roman" w:hAnsi="Arial" w:cs="Arial"/>
          <w:bCs/>
          <w:sz w:val="18"/>
          <w:szCs w:val="18"/>
          <w:lang w:eastAsia="es-CR"/>
        </w:rPr>
      </w:pPr>
      <w:r w:rsidRPr="001E2626">
        <w:rPr>
          <w:rFonts w:ascii="Arial" w:eastAsia="Times New Roman" w:hAnsi="Arial" w:cs="Arial"/>
          <w:bCs/>
          <w:sz w:val="18"/>
          <w:szCs w:val="18"/>
          <w:lang w:eastAsia="es-CR"/>
        </w:rPr>
        <w:t xml:space="preserve">                     Fuente: Informe de rendimiento de cuentas del área. (2017)</w:t>
      </w:r>
    </w:p>
    <w:p w:rsidR="00DA62C0" w:rsidRPr="00A24CF2" w:rsidRDefault="00DA62C0" w:rsidP="00A24CF2">
      <w:pPr>
        <w:spacing w:after="0" w:line="240" w:lineRule="auto"/>
        <w:jc w:val="both"/>
        <w:rPr>
          <w:rFonts w:ascii="Arial" w:eastAsia="Times New Roman" w:hAnsi="Arial" w:cs="Arial"/>
          <w:bCs/>
          <w:sz w:val="20"/>
          <w:szCs w:val="20"/>
          <w:lang w:eastAsia="es-CR"/>
        </w:rPr>
      </w:pPr>
      <w:r w:rsidRPr="00A24CF2">
        <w:rPr>
          <w:rFonts w:ascii="Arial" w:eastAsia="Times New Roman" w:hAnsi="Arial" w:cs="Arial"/>
          <w:bCs/>
          <w:sz w:val="20"/>
          <w:szCs w:val="20"/>
          <w:lang w:eastAsia="es-CR"/>
        </w:rPr>
        <w:br w:type="page"/>
      </w:r>
    </w:p>
    <w:p w:rsidR="00A24CF2" w:rsidRDefault="00A24CF2" w:rsidP="00A24CF2">
      <w:pPr>
        <w:pStyle w:val="Ttulo1"/>
        <w:keepLines w:val="0"/>
        <w:spacing w:after="60" w:line="240" w:lineRule="auto"/>
        <w:ind w:left="928"/>
        <w:jc w:val="both"/>
        <w:rPr>
          <w:rFonts w:ascii="Arial" w:eastAsia="Times New Roman" w:hAnsi="Arial" w:cs="Arial"/>
          <w:b/>
          <w:bCs/>
          <w:color w:val="auto"/>
          <w:kern w:val="32"/>
          <w:sz w:val="20"/>
          <w:szCs w:val="20"/>
          <w:lang w:eastAsia="es-ES"/>
        </w:rPr>
      </w:pPr>
      <w:bookmarkStart w:id="11" w:name="_Toc482965763"/>
    </w:p>
    <w:p w:rsidR="00A24CF2" w:rsidRPr="00A24CF2" w:rsidRDefault="00A24CF2" w:rsidP="000665F1">
      <w:pPr>
        <w:pStyle w:val="Ttulo1"/>
        <w:keepLines w:val="0"/>
        <w:numPr>
          <w:ilvl w:val="0"/>
          <w:numId w:val="1"/>
        </w:numPr>
        <w:spacing w:after="60" w:line="240" w:lineRule="auto"/>
        <w:jc w:val="both"/>
        <w:rPr>
          <w:rFonts w:ascii="Arial" w:eastAsia="Times New Roman" w:hAnsi="Arial" w:cs="Arial"/>
          <w:b/>
          <w:bCs/>
          <w:color w:val="auto"/>
          <w:kern w:val="32"/>
          <w:sz w:val="20"/>
          <w:szCs w:val="20"/>
          <w:lang w:eastAsia="es-ES"/>
        </w:rPr>
      </w:pPr>
      <w:r w:rsidRPr="00A24CF2">
        <w:rPr>
          <w:rFonts w:ascii="Arial" w:eastAsia="Times New Roman" w:hAnsi="Arial" w:cs="Arial"/>
          <w:b/>
          <w:bCs/>
          <w:color w:val="auto"/>
          <w:kern w:val="32"/>
          <w:sz w:val="20"/>
          <w:szCs w:val="20"/>
          <w:lang w:eastAsia="es-ES"/>
        </w:rPr>
        <w:t>PROGRAMA N°3 PROGRAMAS HABITACIONALES</w:t>
      </w:r>
      <w:bookmarkEnd w:id="11"/>
    </w:p>
    <w:p w:rsidR="00A24CF2" w:rsidRDefault="00A24CF2" w:rsidP="00A24CF2">
      <w:pPr>
        <w:pStyle w:val="Textoindependiente"/>
        <w:rPr>
          <w:b/>
        </w:rPr>
      </w:pPr>
    </w:p>
    <w:p w:rsidR="00A24CF2" w:rsidRPr="00A24CF2" w:rsidRDefault="00A24CF2" w:rsidP="000665F1">
      <w:pPr>
        <w:pStyle w:val="Ttulo2"/>
        <w:keepLines w:val="0"/>
        <w:numPr>
          <w:ilvl w:val="0"/>
          <w:numId w:val="6"/>
        </w:numPr>
        <w:spacing w:before="240" w:after="60" w:line="240" w:lineRule="auto"/>
        <w:rPr>
          <w:rFonts w:ascii="Arial" w:eastAsia="Times New Roman" w:hAnsi="Arial" w:cs="Times New Roman"/>
          <w:bCs w:val="0"/>
          <w:color w:val="auto"/>
          <w:sz w:val="20"/>
          <w:szCs w:val="20"/>
          <w:lang w:eastAsia="es-ES"/>
        </w:rPr>
      </w:pPr>
      <w:bookmarkStart w:id="12" w:name="_Toc482965764"/>
      <w:r w:rsidRPr="00A24CF2">
        <w:rPr>
          <w:rFonts w:ascii="Arial" w:eastAsia="Times New Roman" w:hAnsi="Arial" w:cs="Times New Roman"/>
          <w:bCs w:val="0"/>
          <w:color w:val="auto"/>
          <w:sz w:val="20"/>
          <w:szCs w:val="20"/>
          <w:lang w:eastAsia="es-ES"/>
        </w:rPr>
        <w:t>Breve descripción</w:t>
      </w:r>
      <w:bookmarkEnd w:id="12"/>
    </w:p>
    <w:p w:rsidR="00A24CF2" w:rsidRPr="002A4E2A" w:rsidRDefault="00A24CF2" w:rsidP="00A24CF2">
      <w:pPr>
        <w:pStyle w:val="Textoindependiente"/>
        <w:ind w:left="360"/>
        <w:rPr>
          <w:rFonts w:cs="Arial"/>
          <w:b/>
          <w:sz w:val="20"/>
        </w:rPr>
      </w:pPr>
    </w:p>
    <w:p w:rsidR="00A24CF2" w:rsidRPr="00A24CF2" w:rsidRDefault="00A24CF2" w:rsidP="00A24CF2">
      <w:pPr>
        <w:autoSpaceDE w:val="0"/>
        <w:autoSpaceDN w:val="0"/>
        <w:adjustRightInd w:val="0"/>
        <w:spacing w:after="0" w:line="240" w:lineRule="auto"/>
        <w:jc w:val="both"/>
        <w:rPr>
          <w:rFonts w:ascii="Arial" w:eastAsia="Times New Roman" w:hAnsi="Arial" w:cs="Arial"/>
          <w:sz w:val="20"/>
          <w:szCs w:val="20"/>
          <w:lang w:eastAsia="es-ES"/>
        </w:rPr>
      </w:pPr>
      <w:r w:rsidRPr="00A24CF2">
        <w:rPr>
          <w:rFonts w:ascii="Arial" w:eastAsia="Times New Roman" w:hAnsi="Arial" w:cs="Arial"/>
          <w:sz w:val="20"/>
          <w:szCs w:val="20"/>
          <w:lang w:eastAsia="es-ES"/>
        </w:rPr>
        <w:t xml:space="preserve">Este programa presupuestario, se orienta a concretar soluciones de vivienda para la población meta que atiende la Institución, por medio de la planificación, administración y ejecución de proyectos habitacionales, desarrollados de acuerdo con los principios de eficacia, eficiencia responsabilidad social y sostenibilidad ambiental. </w:t>
      </w:r>
    </w:p>
    <w:p w:rsidR="00A24CF2" w:rsidRPr="00A24CF2" w:rsidRDefault="00A24CF2" w:rsidP="00A24CF2">
      <w:pPr>
        <w:autoSpaceDE w:val="0"/>
        <w:autoSpaceDN w:val="0"/>
        <w:adjustRightInd w:val="0"/>
        <w:spacing w:after="0" w:line="240" w:lineRule="auto"/>
        <w:jc w:val="both"/>
        <w:rPr>
          <w:rFonts w:ascii="Arial" w:eastAsia="Times New Roman" w:hAnsi="Arial" w:cs="Arial"/>
          <w:sz w:val="20"/>
          <w:szCs w:val="20"/>
          <w:lang w:eastAsia="es-ES"/>
        </w:rPr>
      </w:pPr>
    </w:p>
    <w:p w:rsidR="00A24CF2" w:rsidRPr="00A24CF2" w:rsidRDefault="00A24CF2" w:rsidP="000665F1">
      <w:pPr>
        <w:pStyle w:val="Ttulo2"/>
        <w:keepLines w:val="0"/>
        <w:numPr>
          <w:ilvl w:val="0"/>
          <w:numId w:val="6"/>
        </w:numPr>
        <w:spacing w:before="240" w:after="60" w:line="240" w:lineRule="auto"/>
        <w:rPr>
          <w:rFonts w:ascii="Arial" w:eastAsia="Times New Roman" w:hAnsi="Arial" w:cs="Times New Roman"/>
          <w:bCs w:val="0"/>
          <w:color w:val="auto"/>
          <w:sz w:val="20"/>
          <w:szCs w:val="20"/>
          <w:lang w:eastAsia="es-ES"/>
        </w:rPr>
      </w:pPr>
      <w:bookmarkStart w:id="13" w:name="_Toc482965765"/>
      <w:r w:rsidRPr="00A24CF2">
        <w:rPr>
          <w:rFonts w:ascii="Arial" w:eastAsia="Times New Roman" w:hAnsi="Arial" w:cs="Times New Roman"/>
          <w:bCs w:val="0"/>
          <w:color w:val="auto"/>
          <w:sz w:val="20"/>
          <w:szCs w:val="20"/>
          <w:lang w:eastAsia="es-ES"/>
        </w:rPr>
        <w:t>Análisis del cumplimiento de las metas programadas por indicador</w:t>
      </w:r>
      <w:bookmarkEnd w:id="13"/>
    </w:p>
    <w:p w:rsidR="00A24CF2" w:rsidRPr="00A24CF2" w:rsidRDefault="00A24CF2" w:rsidP="00A24CF2">
      <w:pPr>
        <w:autoSpaceDE w:val="0"/>
        <w:autoSpaceDN w:val="0"/>
        <w:adjustRightInd w:val="0"/>
        <w:spacing w:after="0" w:line="240" w:lineRule="auto"/>
        <w:jc w:val="both"/>
        <w:rPr>
          <w:rFonts w:ascii="Arial" w:eastAsia="Times New Roman" w:hAnsi="Arial" w:cs="Arial"/>
          <w:sz w:val="20"/>
          <w:szCs w:val="20"/>
          <w:lang w:eastAsia="es-ES"/>
        </w:rPr>
      </w:pPr>
    </w:p>
    <w:p w:rsidR="00A24CF2" w:rsidRPr="00A24CF2" w:rsidRDefault="00A24CF2" w:rsidP="00A24CF2">
      <w:pPr>
        <w:autoSpaceDE w:val="0"/>
        <w:autoSpaceDN w:val="0"/>
        <w:adjustRightInd w:val="0"/>
        <w:spacing w:after="0" w:line="240" w:lineRule="auto"/>
        <w:jc w:val="both"/>
        <w:rPr>
          <w:rFonts w:ascii="Arial" w:eastAsia="Times New Roman" w:hAnsi="Arial" w:cs="Arial"/>
          <w:sz w:val="20"/>
          <w:szCs w:val="20"/>
          <w:lang w:eastAsia="es-ES"/>
        </w:rPr>
      </w:pPr>
      <w:r w:rsidRPr="00A24CF2">
        <w:rPr>
          <w:rFonts w:ascii="Arial" w:eastAsia="Times New Roman" w:hAnsi="Arial" w:cs="Arial"/>
          <w:sz w:val="20"/>
          <w:szCs w:val="20"/>
          <w:lang w:eastAsia="es-ES"/>
        </w:rPr>
        <w:t>El producto final es: Programas habitacionales desarrollados y familias beneficiadas.</w:t>
      </w:r>
    </w:p>
    <w:p w:rsidR="00A24CF2" w:rsidRPr="00A24CF2" w:rsidRDefault="00A24CF2" w:rsidP="00A24CF2">
      <w:pPr>
        <w:autoSpaceDE w:val="0"/>
        <w:autoSpaceDN w:val="0"/>
        <w:adjustRightInd w:val="0"/>
        <w:spacing w:after="0" w:line="240" w:lineRule="auto"/>
        <w:jc w:val="both"/>
        <w:rPr>
          <w:rFonts w:ascii="Arial" w:eastAsia="Times New Roman" w:hAnsi="Arial" w:cs="Arial"/>
          <w:sz w:val="20"/>
          <w:szCs w:val="20"/>
          <w:lang w:eastAsia="es-ES"/>
        </w:rPr>
      </w:pPr>
    </w:p>
    <w:p w:rsidR="00A24CF2" w:rsidRPr="00A24CF2" w:rsidRDefault="00A24CF2" w:rsidP="00A24CF2">
      <w:pPr>
        <w:autoSpaceDE w:val="0"/>
        <w:autoSpaceDN w:val="0"/>
        <w:adjustRightInd w:val="0"/>
        <w:spacing w:after="0" w:line="240" w:lineRule="auto"/>
        <w:jc w:val="both"/>
        <w:rPr>
          <w:rFonts w:ascii="Arial" w:eastAsia="Times New Roman" w:hAnsi="Arial" w:cs="Arial"/>
          <w:sz w:val="20"/>
          <w:szCs w:val="20"/>
          <w:lang w:eastAsia="es-ES"/>
        </w:rPr>
      </w:pPr>
      <w:r w:rsidRPr="00A24CF2">
        <w:rPr>
          <w:rFonts w:ascii="Arial" w:eastAsia="Times New Roman" w:hAnsi="Arial" w:cs="Arial"/>
          <w:sz w:val="20"/>
          <w:szCs w:val="20"/>
          <w:lang w:eastAsia="es-ES"/>
        </w:rPr>
        <w:t>Su objetivo es programar, administrar y ejecutar proyectos habitacionales, de acuerdo con los instrumentos financieros diseñados para cada uno y concretarlos en soluciones de vivienda para la población de escasos recursos y clase media, así como administrar las reservas de terrenos para contribuir a la reducción del déficit habitacional del país.</w:t>
      </w:r>
    </w:p>
    <w:p w:rsidR="00A24CF2" w:rsidRPr="00A24CF2" w:rsidRDefault="00A24CF2" w:rsidP="00A24CF2">
      <w:pPr>
        <w:autoSpaceDE w:val="0"/>
        <w:autoSpaceDN w:val="0"/>
        <w:adjustRightInd w:val="0"/>
        <w:spacing w:after="0" w:line="240" w:lineRule="auto"/>
        <w:jc w:val="both"/>
        <w:rPr>
          <w:rFonts w:ascii="Arial" w:eastAsia="Times New Roman" w:hAnsi="Arial" w:cs="Arial"/>
          <w:sz w:val="20"/>
          <w:szCs w:val="20"/>
          <w:lang w:eastAsia="es-ES"/>
        </w:rPr>
      </w:pPr>
    </w:p>
    <w:p w:rsidR="00A24CF2" w:rsidRPr="00A24CF2" w:rsidRDefault="00A24CF2" w:rsidP="00A24CF2">
      <w:pPr>
        <w:autoSpaceDE w:val="0"/>
        <w:autoSpaceDN w:val="0"/>
        <w:adjustRightInd w:val="0"/>
        <w:spacing w:after="0" w:line="240" w:lineRule="auto"/>
        <w:jc w:val="both"/>
        <w:rPr>
          <w:rFonts w:ascii="Arial" w:eastAsia="Times New Roman" w:hAnsi="Arial" w:cs="Arial"/>
          <w:sz w:val="20"/>
          <w:szCs w:val="20"/>
          <w:lang w:eastAsia="es-ES"/>
        </w:rPr>
      </w:pPr>
      <w:r w:rsidRPr="00A24CF2">
        <w:rPr>
          <w:rFonts w:ascii="Arial" w:eastAsia="Times New Roman" w:hAnsi="Arial" w:cs="Arial"/>
          <w:sz w:val="20"/>
          <w:szCs w:val="20"/>
          <w:lang w:eastAsia="es-ES"/>
        </w:rPr>
        <w:t xml:space="preserve">La programación de las viviendas construidas varía en cada ejercicio económico, dependiendo de los recursos disponibles y del avance que a nivel de factibilidad tengan los proyectos, la principal fuente de financiamiento proviene del Banco Hipotecario de la Vivienda (BANHVI), proyectos que   requieren de aprobación de ese ente para su ejecución. </w:t>
      </w:r>
    </w:p>
    <w:p w:rsidR="00DA62C0" w:rsidRPr="00A24CF2" w:rsidRDefault="00DA62C0" w:rsidP="00A24CF2">
      <w:pPr>
        <w:autoSpaceDE w:val="0"/>
        <w:autoSpaceDN w:val="0"/>
        <w:adjustRightInd w:val="0"/>
        <w:spacing w:after="0" w:line="240" w:lineRule="auto"/>
        <w:jc w:val="both"/>
        <w:rPr>
          <w:rFonts w:ascii="Arial" w:eastAsia="Times New Roman" w:hAnsi="Arial" w:cs="Arial"/>
          <w:sz w:val="20"/>
          <w:szCs w:val="20"/>
          <w:lang w:eastAsia="es-ES"/>
        </w:rPr>
      </w:pPr>
      <w:r w:rsidRPr="00A24CF2">
        <w:rPr>
          <w:rFonts w:ascii="Arial" w:eastAsia="Times New Roman" w:hAnsi="Arial" w:cs="Arial"/>
          <w:sz w:val="20"/>
          <w:szCs w:val="20"/>
          <w:lang w:eastAsia="es-ES"/>
        </w:rPr>
        <w:br w:type="page"/>
      </w:r>
    </w:p>
    <w:p w:rsidR="00A24CF2" w:rsidRDefault="00A24CF2" w:rsidP="00A24CF2">
      <w:pPr>
        <w:spacing w:after="0" w:line="240" w:lineRule="auto"/>
        <w:rPr>
          <w:rFonts w:ascii="Arial" w:eastAsia="Times New Roman" w:hAnsi="Arial" w:cs="Arial"/>
          <w:b/>
          <w:bCs/>
          <w:color w:val="000000"/>
          <w:sz w:val="20"/>
          <w:szCs w:val="20"/>
          <w:lang w:eastAsia="es-CR"/>
        </w:rPr>
      </w:pPr>
    </w:p>
    <w:p w:rsidR="00A24CF2" w:rsidRPr="00A24CF2" w:rsidRDefault="00A24CF2" w:rsidP="00A24CF2">
      <w:pPr>
        <w:spacing w:after="0" w:line="240" w:lineRule="auto"/>
        <w:rPr>
          <w:rFonts w:ascii="Arial" w:eastAsia="Times New Roman" w:hAnsi="Arial" w:cs="Arial"/>
          <w:b/>
          <w:bCs/>
          <w:color w:val="000000"/>
          <w:sz w:val="20"/>
          <w:szCs w:val="20"/>
          <w:lang w:eastAsia="es-CR"/>
        </w:rPr>
      </w:pPr>
      <w:r w:rsidRPr="00A24CF2">
        <w:rPr>
          <w:rFonts w:ascii="Arial" w:eastAsia="Times New Roman" w:hAnsi="Arial" w:cs="Arial"/>
          <w:b/>
          <w:bCs/>
          <w:color w:val="000000"/>
          <w:sz w:val="20"/>
          <w:szCs w:val="20"/>
          <w:lang w:eastAsia="es-CR"/>
        </w:rPr>
        <w:t>PROYECTO GUARARÍ</w:t>
      </w:r>
    </w:p>
    <w:p w:rsidR="00A24CF2" w:rsidRPr="00A24CF2" w:rsidRDefault="00A24CF2" w:rsidP="00A24CF2">
      <w:pPr>
        <w:spacing w:after="0" w:line="240" w:lineRule="auto"/>
        <w:rPr>
          <w:rFonts w:ascii="Arial" w:eastAsia="Times New Roman" w:hAnsi="Arial" w:cs="Arial"/>
          <w:b/>
          <w:bCs/>
          <w:color w:val="000000"/>
          <w:sz w:val="20"/>
          <w:szCs w:val="20"/>
          <w:lang w:eastAsia="es-CR"/>
        </w:rPr>
      </w:pPr>
    </w:p>
    <w:p w:rsidR="00A24CF2" w:rsidRPr="00A24CF2" w:rsidRDefault="00A24CF2" w:rsidP="00A24CF2">
      <w:pPr>
        <w:spacing w:after="0" w:line="240" w:lineRule="auto"/>
        <w:rPr>
          <w:rFonts w:ascii="Arial" w:eastAsia="Times New Roman" w:hAnsi="Arial" w:cs="Arial"/>
          <w:b/>
          <w:bCs/>
          <w:color w:val="000000"/>
          <w:sz w:val="20"/>
          <w:szCs w:val="20"/>
          <w:lang w:eastAsia="es-CR"/>
        </w:rPr>
      </w:pPr>
      <w:r w:rsidRPr="00A24CF2">
        <w:rPr>
          <w:rFonts w:ascii="Arial" w:eastAsia="Times New Roman" w:hAnsi="Arial" w:cs="Arial"/>
          <w:b/>
          <w:bCs/>
          <w:color w:val="000000"/>
          <w:sz w:val="20"/>
          <w:szCs w:val="20"/>
          <w:lang w:eastAsia="es-CR"/>
        </w:rPr>
        <w:t>Indicador N°19 Porcentaje de avance en la etapa de preinversión en vivienda</w:t>
      </w:r>
    </w:p>
    <w:p w:rsidR="00A24CF2" w:rsidRPr="00A24CF2" w:rsidRDefault="00A24CF2" w:rsidP="00A24CF2">
      <w:pPr>
        <w:spacing w:after="0" w:line="240" w:lineRule="auto"/>
        <w:rPr>
          <w:rFonts w:ascii="Arial" w:eastAsia="Times New Roman" w:hAnsi="Arial" w:cs="Arial"/>
          <w:b/>
          <w:bCs/>
          <w:color w:val="000000"/>
          <w:sz w:val="20"/>
          <w:szCs w:val="20"/>
          <w:lang w:eastAsia="es-CR"/>
        </w:rPr>
      </w:pPr>
    </w:p>
    <w:p w:rsidR="00A24CF2" w:rsidRPr="00A24CF2" w:rsidRDefault="00A24CF2" w:rsidP="00A24CF2">
      <w:pPr>
        <w:spacing w:after="0" w:line="240" w:lineRule="auto"/>
        <w:jc w:val="both"/>
        <w:rPr>
          <w:rFonts w:ascii="Arial" w:eastAsia="Times New Roman" w:hAnsi="Arial" w:cs="Arial"/>
          <w:bCs/>
          <w:color w:val="000000"/>
          <w:sz w:val="20"/>
          <w:szCs w:val="20"/>
          <w:lang w:eastAsia="es-CR"/>
        </w:rPr>
      </w:pPr>
      <w:r w:rsidRPr="00A24CF2">
        <w:rPr>
          <w:rFonts w:ascii="Arial" w:eastAsia="Times New Roman" w:hAnsi="Arial" w:cs="Arial"/>
          <w:bCs/>
          <w:color w:val="000000"/>
          <w:sz w:val="20"/>
          <w:szCs w:val="20"/>
          <w:lang w:eastAsia="es-CR"/>
        </w:rPr>
        <w:t>A diciembre se ejecutó el 50% de la preinversión en vivienda, alcanzándose la meta anual en un 100%.</w:t>
      </w:r>
    </w:p>
    <w:p w:rsidR="00A24CF2" w:rsidRPr="00A24CF2" w:rsidRDefault="00A24CF2" w:rsidP="00A24CF2">
      <w:pPr>
        <w:spacing w:after="0" w:line="240" w:lineRule="auto"/>
        <w:jc w:val="both"/>
        <w:rPr>
          <w:rFonts w:ascii="Arial" w:eastAsia="Times New Roman" w:hAnsi="Arial" w:cs="Arial"/>
          <w:bCs/>
          <w:color w:val="000000"/>
          <w:sz w:val="20"/>
          <w:szCs w:val="20"/>
          <w:lang w:eastAsia="es-CR"/>
        </w:rPr>
      </w:pPr>
    </w:p>
    <w:p w:rsidR="00A24CF2" w:rsidRPr="00A24CF2" w:rsidRDefault="00A24CF2" w:rsidP="00A24CF2">
      <w:pPr>
        <w:spacing w:after="0" w:line="240" w:lineRule="auto"/>
        <w:rPr>
          <w:rFonts w:ascii="Arial" w:eastAsia="Times New Roman" w:hAnsi="Arial" w:cs="Arial"/>
          <w:bCs/>
          <w:color w:val="000000"/>
          <w:sz w:val="20"/>
          <w:szCs w:val="20"/>
          <w:lang w:eastAsia="es-CR"/>
        </w:rPr>
      </w:pPr>
      <w:r w:rsidRPr="00A24CF2">
        <w:rPr>
          <w:rFonts w:ascii="Arial" w:eastAsia="Times New Roman" w:hAnsi="Arial" w:cs="Arial"/>
          <w:bCs/>
          <w:color w:val="000000"/>
          <w:sz w:val="20"/>
          <w:szCs w:val="20"/>
          <w:lang w:eastAsia="es-CR"/>
        </w:rPr>
        <w:t>Seguidamente se muestra un detalle de lo actuado:</w:t>
      </w:r>
    </w:p>
    <w:tbl>
      <w:tblPr>
        <w:tblW w:w="9103" w:type="dxa"/>
        <w:tblBorders>
          <w:insideH w:val="single" w:sz="6" w:space="0" w:color="000000"/>
          <w:insideV w:val="single" w:sz="6" w:space="0" w:color="000000"/>
        </w:tblBorders>
        <w:tblLook w:val="04A0" w:firstRow="1" w:lastRow="0" w:firstColumn="1" w:lastColumn="0" w:noHBand="0" w:noVBand="1"/>
      </w:tblPr>
      <w:tblGrid>
        <w:gridCol w:w="4293"/>
        <w:gridCol w:w="4810"/>
      </w:tblGrid>
      <w:tr w:rsidR="00A24CF2" w:rsidRPr="00A24CF2" w:rsidTr="002D5BDD">
        <w:trPr>
          <w:trHeight w:val="267"/>
        </w:trPr>
        <w:tc>
          <w:tcPr>
            <w:tcW w:w="5000" w:type="pct"/>
            <w:gridSpan w:val="2"/>
            <w:tcBorders>
              <w:top w:val="nil"/>
              <w:left w:val="nil"/>
              <w:bottom w:val="single" w:sz="6" w:space="0" w:color="000000"/>
              <w:right w:val="nil"/>
            </w:tcBorders>
            <w:noWrap/>
            <w:hideMark/>
          </w:tcPr>
          <w:p w:rsidR="00A24CF2" w:rsidRPr="00A24CF2" w:rsidRDefault="00A24CF2" w:rsidP="00A24CF2">
            <w:pPr>
              <w:spacing w:after="0" w:line="240" w:lineRule="auto"/>
              <w:rPr>
                <w:rFonts w:ascii="Arial" w:eastAsia="Times New Roman" w:hAnsi="Arial" w:cs="Arial"/>
                <w:b/>
                <w:bCs/>
                <w:color w:val="000000"/>
                <w:sz w:val="20"/>
                <w:szCs w:val="20"/>
                <w:lang w:eastAsia="es-CR"/>
              </w:rPr>
            </w:pPr>
            <w:r w:rsidRPr="00A24CF2">
              <w:rPr>
                <w:rFonts w:ascii="Arial" w:eastAsia="Times New Roman" w:hAnsi="Arial" w:cs="Arial"/>
                <w:b/>
                <w:bCs/>
                <w:color w:val="000000"/>
                <w:sz w:val="20"/>
                <w:szCs w:val="20"/>
                <w:lang w:eastAsia="es-CR"/>
              </w:rPr>
              <w:t xml:space="preserve">       </w:t>
            </w:r>
          </w:p>
          <w:p w:rsidR="00A24CF2" w:rsidRPr="00A24CF2" w:rsidRDefault="00A24CF2" w:rsidP="00A24CF2">
            <w:pPr>
              <w:spacing w:after="0" w:line="240" w:lineRule="auto"/>
              <w:jc w:val="center"/>
              <w:rPr>
                <w:rFonts w:ascii="Arial" w:eastAsia="Times New Roman" w:hAnsi="Arial" w:cs="Arial"/>
                <w:b/>
                <w:bCs/>
                <w:color w:val="000000"/>
                <w:sz w:val="20"/>
                <w:szCs w:val="20"/>
                <w:lang w:eastAsia="es-CR"/>
              </w:rPr>
            </w:pPr>
            <w:r w:rsidRPr="00A24CF2">
              <w:rPr>
                <w:rFonts w:ascii="Arial" w:eastAsia="Times New Roman" w:hAnsi="Arial" w:cs="Arial"/>
                <w:b/>
                <w:bCs/>
                <w:color w:val="000000"/>
                <w:sz w:val="20"/>
                <w:szCs w:val="20"/>
                <w:lang w:eastAsia="es-CR"/>
              </w:rPr>
              <w:t>Tabla 18 Acciones Realizadas</w:t>
            </w:r>
          </w:p>
        </w:tc>
      </w:tr>
      <w:tr w:rsidR="00A24CF2" w:rsidRPr="00A24CF2" w:rsidTr="002D5BDD">
        <w:trPr>
          <w:trHeight w:val="817"/>
        </w:trPr>
        <w:tc>
          <w:tcPr>
            <w:tcW w:w="2358" w:type="pct"/>
            <w:tcBorders>
              <w:top w:val="single" w:sz="6" w:space="0" w:color="000000"/>
              <w:left w:val="nil"/>
              <w:bottom w:val="single" w:sz="6" w:space="0" w:color="000000"/>
              <w:right w:val="single" w:sz="6" w:space="0" w:color="000000"/>
            </w:tcBorders>
            <w:hideMark/>
          </w:tcPr>
          <w:p w:rsidR="00A24CF2" w:rsidRPr="00A24CF2" w:rsidRDefault="00A24CF2" w:rsidP="00A24CF2">
            <w:pPr>
              <w:spacing w:after="0" w:line="240" w:lineRule="auto"/>
              <w:rPr>
                <w:rFonts w:ascii="Arial" w:eastAsia="Times New Roman" w:hAnsi="Arial" w:cs="Arial"/>
                <w:b/>
                <w:bCs/>
                <w:color w:val="000000"/>
                <w:sz w:val="20"/>
                <w:szCs w:val="20"/>
                <w:lang w:eastAsia="es-CR"/>
              </w:rPr>
            </w:pPr>
            <w:r w:rsidRPr="00A24CF2">
              <w:rPr>
                <w:rFonts w:ascii="Arial" w:eastAsia="Times New Roman" w:hAnsi="Arial" w:cs="Arial"/>
                <w:b/>
                <w:bCs/>
                <w:color w:val="000000"/>
                <w:sz w:val="20"/>
                <w:szCs w:val="20"/>
                <w:lang w:eastAsia="es-CR"/>
              </w:rPr>
              <w:t>a) Actividades realizadas:</w:t>
            </w:r>
          </w:p>
        </w:tc>
        <w:tc>
          <w:tcPr>
            <w:tcW w:w="2642" w:type="pct"/>
            <w:tcBorders>
              <w:top w:val="single" w:sz="6" w:space="0" w:color="000000"/>
              <w:left w:val="single" w:sz="6" w:space="0" w:color="000000"/>
              <w:bottom w:val="single" w:sz="6" w:space="0" w:color="000000"/>
              <w:right w:val="nil"/>
            </w:tcBorders>
          </w:tcPr>
          <w:p w:rsidR="00A24CF2" w:rsidRPr="00A24CF2" w:rsidRDefault="00A24CF2" w:rsidP="00A24CF2">
            <w:pPr>
              <w:spacing w:after="0" w:line="240" w:lineRule="auto"/>
              <w:jc w:val="both"/>
              <w:rPr>
                <w:rFonts w:ascii="Arial" w:eastAsia="Times New Roman" w:hAnsi="Arial" w:cs="Arial"/>
                <w:bCs/>
                <w:color w:val="000000"/>
                <w:sz w:val="20"/>
                <w:szCs w:val="20"/>
                <w:lang w:eastAsia="es-CR"/>
              </w:rPr>
            </w:pPr>
            <w:r w:rsidRPr="00A24CF2">
              <w:rPr>
                <w:rFonts w:ascii="Arial" w:eastAsia="Times New Roman" w:hAnsi="Arial" w:cs="Arial"/>
                <w:bCs/>
                <w:color w:val="000000"/>
                <w:sz w:val="20"/>
                <w:szCs w:val="20"/>
                <w:lang w:eastAsia="es-CR"/>
              </w:rPr>
              <w:t>- Contratación de la empresa consultora y constructora, para el diseño de las obras de infraestructura del bono comunal (24 parques, red de tubería pluvial y aceras).</w:t>
            </w:r>
          </w:p>
          <w:p w:rsidR="00A24CF2" w:rsidRPr="00A24CF2" w:rsidRDefault="00A24CF2" w:rsidP="00A24CF2">
            <w:pPr>
              <w:spacing w:after="0" w:line="240" w:lineRule="auto"/>
              <w:jc w:val="both"/>
              <w:rPr>
                <w:rFonts w:ascii="Arial" w:eastAsia="Times New Roman" w:hAnsi="Arial" w:cs="Arial"/>
                <w:bCs/>
                <w:color w:val="000000"/>
                <w:sz w:val="20"/>
                <w:szCs w:val="20"/>
                <w:lang w:eastAsia="es-CR"/>
              </w:rPr>
            </w:pPr>
            <w:r w:rsidRPr="00A24CF2">
              <w:rPr>
                <w:rFonts w:ascii="Arial" w:eastAsia="Times New Roman" w:hAnsi="Arial" w:cs="Arial"/>
                <w:bCs/>
                <w:color w:val="000000"/>
                <w:sz w:val="20"/>
                <w:szCs w:val="20"/>
                <w:lang w:eastAsia="es-CR"/>
              </w:rPr>
              <w:t>- Elaboración de dos estudios de suelo en dos fincas de reserva del INVU (Finca El Fortín y Villa Paola II).</w:t>
            </w:r>
          </w:p>
          <w:p w:rsidR="00A24CF2" w:rsidRPr="00A24CF2" w:rsidRDefault="00A24CF2" w:rsidP="00A24CF2">
            <w:pPr>
              <w:spacing w:after="0" w:line="240" w:lineRule="auto"/>
              <w:jc w:val="both"/>
              <w:rPr>
                <w:rFonts w:ascii="Arial" w:eastAsia="Times New Roman" w:hAnsi="Arial" w:cs="Arial"/>
                <w:bCs/>
                <w:color w:val="000000"/>
                <w:sz w:val="20"/>
                <w:szCs w:val="20"/>
                <w:lang w:eastAsia="es-CR"/>
              </w:rPr>
            </w:pPr>
            <w:r w:rsidRPr="00A24CF2">
              <w:rPr>
                <w:rFonts w:ascii="Arial" w:eastAsia="Times New Roman" w:hAnsi="Arial" w:cs="Arial"/>
                <w:bCs/>
                <w:color w:val="000000"/>
                <w:sz w:val="20"/>
                <w:szCs w:val="20"/>
                <w:lang w:eastAsia="es-CR"/>
              </w:rPr>
              <w:t>- En proceso la aprobación final del financiamiento por parte del BANHVI, para que la empresa adjudicada inicie con el diseño de las obras de infraestructura del bono comunal.</w:t>
            </w:r>
          </w:p>
          <w:p w:rsidR="00A24CF2" w:rsidRPr="00A24CF2" w:rsidRDefault="00A24CF2" w:rsidP="00A24CF2">
            <w:pPr>
              <w:spacing w:after="0" w:line="240" w:lineRule="auto"/>
              <w:jc w:val="both"/>
              <w:rPr>
                <w:rFonts w:ascii="Arial" w:eastAsia="Times New Roman" w:hAnsi="Arial" w:cs="Arial"/>
                <w:bCs/>
                <w:color w:val="000000"/>
                <w:sz w:val="20"/>
                <w:szCs w:val="20"/>
                <w:lang w:eastAsia="es-CR"/>
              </w:rPr>
            </w:pPr>
            <w:r w:rsidRPr="00A24CF2">
              <w:rPr>
                <w:rFonts w:ascii="Arial" w:eastAsia="Times New Roman" w:hAnsi="Arial" w:cs="Arial"/>
                <w:bCs/>
                <w:color w:val="000000"/>
                <w:sz w:val="20"/>
                <w:szCs w:val="20"/>
                <w:lang w:eastAsia="es-CR"/>
              </w:rPr>
              <w:t>- Elaboración del anteproyecto de vivienda, de una de las áreas, donde se encuentran aproximadamente 30 familias.</w:t>
            </w:r>
          </w:p>
          <w:p w:rsidR="00A24CF2" w:rsidRPr="00A24CF2" w:rsidRDefault="00A24CF2" w:rsidP="00A24CF2">
            <w:pPr>
              <w:spacing w:after="0" w:line="240" w:lineRule="auto"/>
              <w:jc w:val="both"/>
              <w:rPr>
                <w:rFonts w:ascii="Arial" w:eastAsia="Times New Roman" w:hAnsi="Arial" w:cs="Arial"/>
                <w:bCs/>
                <w:color w:val="000000"/>
                <w:sz w:val="20"/>
                <w:szCs w:val="20"/>
                <w:lang w:eastAsia="es-CR"/>
              </w:rPr>
            </w:pPr>
            <w:r w:rsidRPr="00A24CF2">
              <w:rPr>
                <w:rFonts w:ascii="Arial" w:eastAsia="Times New Roman" w:hAnsi="Arial" w:cs="Arial"/>
                <w:bCs/>
                <w:color w:val="000000"/>
                <w:sz w:val="20"/>
                <w:szCs w:val="20"/>
                <w:lang w:eastAsia="es-CR"/>
              </w:rPr>
              <w:t>- Elaboración del censo de en aproximadamente 1.000 familias, con el objetivo de caracterizar la población en condición de precario.</w:t>
            </w:r>
          </w:p>
          <w:p w:rsidR="00A24CF2" w:rsidRPr="00A24CF2" w:rsidRDefault="00A24CF2" w:rsidP="00A24CF2">
            <w:pPr>
              <w:spacing w:after="0" w:line="240" w:lineRule="auto"/>
              <w:jc w:val="both"/>
              <w:rPr>
                <w:rFonts w:ascii="Arial" w:eastAsia="Times New Roman" w:hAnsi="Arial" w:cs="Arial"/>
                <w:bCs/>
                <w:color w:val="000000"/>
                <w:sz w:val="20"/>
                <w:szCs w:val="20"/>
                <w:lang w:eastAsia="es-CR"/>
              </w:rPr>
            </w:pPr>
            <w:r w:rsidRPr="00A24CF2">
              <w:rPr>
                <w:rFonts w:ascii="Arial" w:eastAsia="Times New Roman" w:hAnsi="Arial" w:cs="Arial"/>
                <w:bCs/>
                <w:color w:val="000000"/>
                <w:sz w:val="20"/>
                <w:szCs w:val="20"/>
                <w:lang w:eastAsia="es-CR"/>
              </w:rPr>
              <w:t>- Se realizó el proceso de precalificación de empresas para iniciar el estudio de suelos en el sector de Las Cuencas.</w:t>
            </w:r>
          </w:p>
          <w:p w:rsidR="00A24CF2" w:rsidRPr="00A24CF2" w:rsidRDefault="00A24CF2" w:rsidP="00A24CF2">
            <w:pPr>
              <w:spacing w:after="0" w:line="240" w:lineRule="auto"/>
              <w:jc w:val="both"/>
              <w:rPr>
                <w:rFonts w:ascii="Arial" w:eastAsia="Times New Roman" w:hAnsi="Arial" w:cs="Arial"/>
                <w:bCs/>
                <w:color w:val="000000"/>
                <w:sz w:val="20"/>
                <w:szCs w:val="20"/>
                <w:lang w:eastAsia="es-CR"/>
              </w:rPr>
            </w:pPr>
            <w:r w:rsidRPr="00A24CF2">
              <w:rPr>
                <w:rFonts w:ascii="Arial" w:eastAsia="Times New Roman" w:hAnsi="Arial" w:cs="Arial"/>
                <w:bCs/>
                <w:color w:val="000000"/>
                <w:sz w:val="20"/>
                <w:szCs w:val="20"/>
                <w:lang w:eastAsia="es-CR"/>
              </w:rPr>
              <w:t>- Se elaboró el plano de catastro de un sector donde se desarrolló el anteproyecto y donde se pretende construir la planta de tratamiento.</w:t>
            </w:r>
          </w:p>
          <w:p w:rsidR="00A24CF2" w:rsidRPr="00A24CF2" w:rsidRDefault="00A24CF2" w:rsidP="00A24CF2">
            <w:pPr>
              <w:spacing w:after="0" w:line="240" w:lineRule="auto"/>
              <w:jc w:val="both"/>
              <w:rPr>
                <w:rFonts w:ascii="Arial" w:eastAsia="Times New Roman" w:hAnsi="Arial" w:cs="Arial"/>
                <w:bCs/>
                <w:color w:val="000000"/>
                <w:sz w:val="20"/>
                <w:szCs w:val="20"/>
                <w:lang w:eastAsia="es-CR"/>
              </w:rPr>
            </w:pPr>
            <w:r w:rsidRPr="00A24CF2">
              <w:rPr>
                <w:rFonts w:ascii="Arial" w:eastAsia="Times New Roman" w:hAnsi="Arial" w:cs="Arial"/>
                <w:bCs/>
                <w:color w:val="000000"/>
                <w:sz w:val="20"/>
                <w:szCs w:val="20"/>
                <w:lang w:eastAsia="es-CR"/>
              </w:rPr>
              <w:t>- Se revisó el anteproyecto arquitectónico con Bomberos, que permitió ajustar el diseño.</w:t>
            </w:r>
          </w:p>
          <w:p w:rsidR="00A24CF2" w:rsidRPr="00A24CF2" w:rsidRDefault="00A24CF2" w:rsidP="00A24CF2">
            <w:pPr>
              <w:spacing w:after="0" w:line="240" w:lineRule="auto"/>
              <w:jc w:val="both"/>
              <w:rPr>
                <w:rFonts w:ascii="Arial" w:eastAsia="Times New Roman" w:hAnsi="Arial" w:cs="Arial"/>
                <w:bCs/>
                <w:color w:val="000000"/>
                <w:sz w:val="20"/>
                <w:szCs w:val="20"/>
                <w:lang w:eastAsia="es-CR"/>
              </w:rPr>
            </w:pPr>
            <w:r w:rsidRPr="00A24CF2">
              <w:rPr>
                <w:rFonts w:ascii="Arial" w:eastAsia="Times New Roman" w:hAnsi="Arial" w:cs="Arial"/>
                <w:bCs/>
                <w:color w:val="000000"/>
                <w:sz w:val="20"/>
                <w:szCs w:val="20"/>
                <w:lang w:eastAsia="es-CR"/>
              </w:rPr>
              <w:t>- Se elaboró un taller participativo con la comunidad para integrarla dentro del diseño del proyecto.</w:t>
            </w:r>
          </w:p>
          <w:p w:rsidR="00A24CF2" w:rsidRPr="00A24CF2" w:rsidRDefault="00A24CF2" w:rsidP="00A24CF2">
            <w:pPr>
              <w:spacing w:after="0" w:line="240" w:lineRule="auto"/>
              <w:jc w:val="both"/>
              <w:rPr>
                <w:rFonts w:ascii="Arial" w:eastAsia="Times New Roman" w:hAnsi="Arial" w:cs="Arial"/>
                <w:bCs/>
                <w:color w:val="000000"/>
                <w:sz w:val="20"/>
                <w:szCs w:val="20"/>
                <w:lang w:eastAsia="es-CR"/>
              </w:rPr>
            </w:pPr>
            <w:r w:rsidRPr="00A24CF2">
              <w:rPr>
                <w:rFonts w:ascii="Arial" w:eastAsia="Times New Roman" w:hAnsi="Arial" w:cs="Arial"/>
                <w:bCs/>
                <w:color w:val="000000"/>
                <w:sz w:val="20"/>
                <w:szCs w:val="20"/>
                <w:lang w:eastAsia="es-CR"/>
              </w:rPr>
              <w:t>- Se adjudicó a la Empresa Molina y Arce Construcción y Consultoría, el diseño y construcción de las obras de infraestructura del proyecto de Bono Comunal de Guararí. El cual se encuentra en aprobación por parte de la Contraloría General de la Republica (CGR).</w:t>
            </w:r>
          </w:p>
          <w:p w:rsidR="00A24CF2" w:rsidRPr="00A24CF2" w:rsidRDefault="00A24CF2" w:rsidP="00A24CF2">
            <w:pPr>
              <w:spacing w:after="0" w:line="240" w:lineRule="auto"/>
              <w:jc w:val="both"/>
              <w:rPr>
                <w:rFonts w:ascii="Arial" w:eastAsia="Times New Roman" w:hAnsi="Arial" w:cs="Arial"/>
                <w:bCs/>
                <w:color w:val="000000"/>
                <w:sz w:val="20"/>
                <w:szCs w:val="20"/>
                <w:lang w:eastAsia="es-CR"/>
              </w:rPr>
            </w:pPr>
            <w:r w:rsidRPr="00A24CF2">
              <w:rPr>
                <w:rFonts w:ascii="Arial" w:eastAsia="Times New Roman" w:hAnsi="Arial" w:cs="Arial"/>
                <w:bCs/>
                <w:color w:val="000000"/>
                <w:sz w:val="20"/>
                <w:szCs w:val="20"/>
                <w:lang w:eastAsia="es-CR"/>
              </w:rPr>
              <w:t>- Se realizó la presentación final del censo realizado por el INVU, a representantes de la Comunidad de Guararí y la Municipalidad de Heredia.</w:t>
            </w:r>
          </w:p>
          <w:p w:rsidR="00A24CF2" w:rsidRPr="00A24CF2" w:rsidRDefault="00A24CF2" w:rsidP="00A24CF2">
            <w:pPr>
              <w:spacing w:after="0" w:line="240" w:lineRule="auto"/>
              <w:jc w:val="both"/>
              <w:rPr>
                <w:rFonts w:ascii="Arial" w:eastAsia="Times New Roman" w:hAnsi="Arial" w:cs="Arial"/>
                <w:bCs/>
                <w:color w:val="000000"/>
                <w:sz w:val="20"/>
                <w:szCs w:val="20"/>
                <w:lang w:eastAsia="es-CR"/>
              </w:rPr>
            </w:pPr>
            <w:r w:rsidRPr="00A24CF2">
              <w:rPr>
                <w:rFonts w:ascii="Arial" w:eastAsia="Times New Roman" w:hAnsi="Arial" w:cs="Arial"/>
                <w:bCs/>
                <w:color w:val="000000"/>
                <w:sz w:val="20"/>
                <w:szCs w:val="20"/>
                <w:lang w:eastAsia="es-CR"/>
              </w:rPr>
              <w:t>- Se adjudicó a la Empresa Castro y de la Torre, el estudio de suelos en el sector de las Cuencas.</w:t>
            </w:r>
          </w:p>
          <w:p w:rsidR="00A24CF2" w:rsidRPr="00A24CF2" w:rsidRDefault="00A24CF2" w:rsidP="00A24CF2">
            <w:pPr>
              <w:spacing w:after="0" w:line="240" w:lineRule="auto"/>
              <w:jc w:val="both"/>
              <w:rPr>
                <w:rFonts w:ascii="Arial" w:eastAsia="Times New Roman" w:hAnsi="Arial" w:cs="Arial"/>
                <w:bCs/>
                <w:color w:val="000000"/>
                <w:sz w:val="20"/>
                <w:szCs w:val="20"/>
                <w:lang w:eastAsia="es-CR"/>
              </w:rPr>
            </w:pPr>
            <w:r w:rsidRPr="00A24CF2">
              <w:rPr>
                <w:rFonts w:ascii="Arial" w:eastAsia="Times New Roman" w:hAnsi="Arial" w:cs="Arial"/>
                <w:bCs/>
                <w:color w:val="000000"/>
                <w:sz w:val="20"/>
                <w:szCs w:val="20"/>
                <w:lang w:eastAsia="es-CR"/>
              </w:rPr>
              <w:lastRenderedPageBreak/>
              <w:t>- Se elaboró el diseño de sitio en Condominio Vertical Residencial Lumen para 41 soluciones habitacionales, se solicitó a la Empresa de Servicios Públicos de Heredia (ESPH) la disponibilidad de servicios y a la Municipalidad el Uso de Suelos.</w:t>
            </w:r>
          </w:p>
          <w:p w:rsidR="00A24CF2" w:rsidRPr="00A24CF2" w:rsidRDefault="00A24CF2" w:rsidP="00A24CF2">
            <w:pPr>
              <w:spacing w:after="0" w:line="240" w:lineRule="auto"/>
              <w:jc w:val="both"/>
              <w:rPr>
                <w:rFonts w:ascii="Arial" w:eastAsia="Times New Roman" w:hAnsi="Arial" w:cs="Arial"/>
                <w:bCs/>
                <w:color w:val="000000"/>
                <w:sz w:val="20"/>
                <w:szCs w:val="20"/>
                <w:lang w:eastAsia="es-CR"/>
              </w:rPr>
            </w:pPr>
          </w:p>
        </w:tc>
      </w:tr>
      <w:tr w:rsidR="00A24CF2" w:rsidRPr="00A24CF2" w:rsidTr="002D5BDD">
        <w:trPr>
          <w:trHeight w:val="698"/>
        </w:trPr>
        <w:tc>
          <w:tcPr>
            <w:tcW w:w="2358" w:type="pct"/>
            <w:tcBorders>
              <w:top w:val="single" w:sz="6" w:space="0" w:color="000000"/>
              <w:left w:val="nil"/>
              <w:bottom w:val="single" w:sz="6" w:space="0" w:color="000000"/>
              <w:right w:val="single" w:sz="6" w:space="0" w:color="000000"/>
            </w:tcBorders>
          </w:tcPr>
          <w:p w:rsidR="00A24CF2" w:rsidRPr="00A24CF2" w:rsidRDefault="00A24CF2" w:rsidP="00A24CF2">
            <w:pPr>
              <w:spacing w:after="0" w:line="240" w:lineRule="auto"/>
              <w:rPr>
                <w:rFonts w:ascii="Arial" w:eastAsia="Times New Roman" w:hAnsi="Arial" w:cs="Arial"/>
                <w:b/>
                <w:bCs/>
                <w:color w:val="000000"/>
                <w:sz w:val="20"/>
                <w:szCs w:val="20"/>
                <w:lang w:eastAsia="es-CR"/>
              </w:rPr>
            </w:pPr>
            <w:r w:rsidRPr="00A24CF2">
              <w:rPr>
                <w:rFonts w:ascii="Arial" w:eastAsia="Times New Roman" w:hAnsi="Arial" w:cs="Arial"/>
                <w:b/>
                <w:bCs/>
                <w:color w:val="000000"/>
                <w:sz w:val="20"/>
                <w:szCs w:val="20"/>
                <w:lang w:eastAsia="es-CR"/>
              </w:rPr>
              <w:t xml:space="preserve">b) Limitaciones: </w:t>
            </w:r>
          </w:p>
          <w:p w:rsidR="00A24CF2" w:rsidRPr="00A24CF2" w:rsidRDefault="00A24CF2" w:rsidP="00A24CF2">
            <w:pPr>
              <w:spacing w:after="0" w:line="240" w:lineRule="auto"/>
              <w:rPr>
                <w:rFonts w:ascii="Arial" w:eastAsia="Times New Roman" w:hAnsi="Arial" w:cs="Arial"/>
                <w:b/>
                <w:bCs/>
                <w:color w:val="000000"/>
                <w:sz w:val="20"/>
                <w:szCs w:val="20"/>
                <w:lang w:eastAsia="es-CR"/>
              </w:rPr>
            </w:pPr>
          </w:p>
        </w:tc>
        <w:tc>
          <w:tcPr>
            <w:tcW w:w="2642" w:type="pct"/>
            <w:tcBorders>
              <w:top w:val="single" w:sz="6" w:space="0" w:color="000000"/>
              <w:left w:val="single" w:sz="6" w:space="0" w:color="000000"/>
              <w:bottom w:val="single" w:sz="6" w:space="0" w:color="000000"/>
              <w:right w:val="nil"/>
            </w:tcBorders>
            <w:hideMark/>
          </w:tcPr>
          <w:p w:rsidR="00A24CF2" w:rsidRPr="00A24CF2" w:rsidRDefault="00A24CF2" w:rsidP="00A24CF2">
            <w:pPr>
              <w:spacing w:after="0" w:line="240" w:lineRule="auto"/>
              <w:jc w:val="both"/>
              <w:rPr>
                <w:rFonts w:ascii="Arial" w:eastAsia="Times New Roman" w:hAnsi="Arial" w:cs="Arial"/>
                <w:bCs/>
                <w:color w:val="000000"/>
                <w:sz w:val="20"/>
                <w:szCs w:val="20"/>
                <w:lang w:eastAsia="es-CR"/>
              </w:rPr>
            </w:pPr>
            <w:r w:rsidRPr="00A24CF2">
              <w:rPr>
                <w:rFonts w:ascii="Arial" w:eastAsia="Times New Roman" w:hAnsi="Arial" w:cs="Arial"/>
                <w:bCs/>
                <w:color w:val="000000"/>
                <w:sz w:val="20"/>
                <w:szCs w:val="20"/>
                <w:lang w:eastAsia="es-CR"/>
              </w:rPr>
              <w:t>- Dificultad para la realización de los estudios básicos en terrenos invadidos.</w:t>
            </w:r>
          </w:p>
          <w:p w:rsidR="00A24CF2" w:rsidRPr="00A24CF2" w:rsidRDefault="00A24CF2" w:rsidP="00A24CF2">
            <w:pPr>
              <w:spacing w:after="0" w:line="240" w:lineRule="auto"/>
              <w:jc w:val="both"/>
              <w:rPr>
                <w:rFonts w:ascii="Arial" w:eastAsia="Times New Roman" w:hAnsi="Arial" w:cs="Arial"/>
                <w:bCs/>
                <w:color w:val="000000"/>
                <w:sz w:val="20"/>
                <w:szCs w:val="20"/>
                <w:lang w:eastAsia="es-CR"/>
              </w:rPr>
            </w:pPr>
            <w:r w:rsidRPr="00A24CF2">
              <w:rPr>
                <w:rFonts w:ascii="Arial" w:eastAsia="Times New Roman" w:hAnsi="Arial" w:cs="Arial"/>
                <w:bCs/>
                <w:color w:val="000000"/>
                <w:sz w:val="20"/>
                <w:szCs w:val="20"/>
                <w:lang w:eastAsia="es-CR"/>
              </w:rPr>
              <w:t>- Proceso de contratación administrativa extenso, por los tiempos y trámites en cumplimiento de la normativa vigente.</w:t>
            </w:r>
          </w:p>
          <w:p w:rsidR="00A24CF2" w:rsidRPr="00A24CF2" w:rsidRDefault="00A24CF2" w:rsidP="00A24CF2">
            <w:pPr>
              <w:spacing w:after="0" w:line="240" w:lineRule="auto"/>
              <w:jc w:val="both"/>
              <w:rPr>
                <w:rFonts w:ascii="Arial" w:eastAsia="Times New Roman" w:hAnsi="Arial" w:cs="Arial"/>
                <w:bCs/>
                <w:color w:val="000000"/>
                <w:sz w:val="20"/>
                <w:szCs w:val="20"/>
                <w:lang w:eastAsia="es-CR"/>
              </w:rPr>
            </w:pPr>
            <w:r w:rsidRPr="00A24CF2">
              <w:rPr>
                <w:rFonts w:ascii="Arial" w:eastAsia="Times New Roman" w:hAnsi="Arial" w:cs="Arial"/>
                <w:bCs/>
                <w:color w:val="000000"/>
                <w:sz w:val="20"/>
                <w:szCs w:val="20"/>
                <w:lang w:eastAsia="es-CR"/>
              </w:rPr>
              <w:t>- Tiempos amplios de respuesta por parte de otras entidades.</w:t>
            </w:r>
          </w:p>
        </w:tc>
      </w:tr>
      <w:tr w:rsidR="00A24CF2" w:rsidRPr="00A24CF2" w:rsidTr="002D5BDD">
        <w:trPr>
          <w:trHeight w:val="466"/>
        </w:trPr>
        <w:tc>
          <w:tcPr>
            <w:tcW w:w="2358" w:type="pct"/>
            <w:tcBorders>
              <w:top w:val="single" w:sz="6" w:space="0" w:color="000000"/>
              <w:left w:val="nil"/>
              <w:bottom w:val="single" w:sz="6" w:space="0" w:color="000000"/>
              <w:right w:val="single" w:sz="6" w:space="0" w:color="000000"/>
            </w:tcBorders>
            <w:hideMark/>
          </w:tcPr>
          <w:p w:rsidR="00A24CF2" w:rsidRPr="00A24CF2" w:rsidRDefault="00A24CF2" w:rsidP="00A24CF2">
            <w:pPr>
              <w:spacing w:after="0" w:line="240" w:lineRule="auto"/>
              <w:rPr>
                <w:rFonts w:ascii="Arial" w:eastAsia="Times New Roman" w:hAnsi="Arial" w:cs="Arial"/>
                <w:b/>
                <w:bCs/>
                <w:color w:val="000000"/>
                <w:sz w:val="20"/>
                <w:szCs w:val="20"/>
                <w:lang w:eastAsia="es-CR"/>
              </w:rPr>
            </w:pPr>
            <w:r w:rsidRPr="00A24CF2">
              <w:rPr>
                <w:rFonts w:ascii="Arial" w:eastAsia="Times New Roman" w:hAnsi="Arial" w:cs="Arial"/>
                <w:b/>
                <w:bCs/>
                <w:color w:val="000000"/>
                <w:sz w:val="20"/>
                <w:szCs w:val="20"/>
                <w:lang w:eastAsia="es-CR"/>
              </w:rPr>
              <w:t>c) Medidas correctivas o acciones de mejora (realizadas y por realizar) para el logro de la meta:</w:t>
            </w:r>
          </w:p>
        </w:tc>
        <w:tc>
          <w:tcPr>
            <w:tcW w:w="2642" w:type="pct"/>
            <w:tcBorders>
              <w:top w:val="single" w:sz="6" w:space="0" w:color="000000"/>
              <w:left w:val="single" w:sz="6" w:space="0" w:color="000000"/>
              <w:bottom w:val="single" w:sz="6" w:space="0" w:color="000000"/>
              <w:right w:val="nil"/>
            </w:tcBorders>
          </w:tcPr>
          <w:p w:rsidR="00A24CF2" w:rsidRPr="00A24CF2" w:rsidRDefault="00A24CF2" w:rsidP="00A24CF2">
            <w:pPr>
              <w:spacing w:after="0" w:line="240" w:lineRule="auto"/>
              <w:jc w:val="both"/>
              <w:rPr>
                <w:rFonts w:ascii="Arial" w:eastAsia="Times New Roman" w:hAnsi="Arial" w:cs="Arial"/>
                <w:bCs/>
                <w:color w:val="000000"/>
                <w:sz w:val="20"/>
                <w:szCs w:val="20"/>
                <w:lang w:eastAsia="es-CR"/>
              </w:rPr>
            </w:pPr>
          </w:p>
        </w:tc>
      </w:tr>
      <w:tr w:rsidR="00A24CF2" w:rsidRPr="00A24CF2" w:rsidTr="002D5BDD">
        <w:trPr>
          <w:trHeight w:val="841"/>
        </w:trPr>
        <w:tc>
          <w:tcPr>
            <w:tcW w:w="2358" w:type="pct"/>
            <w:tcBorders>
              <w:top w:val="single" w:sz="6" w:space="0" w:color="000000"/>
              <w:left w:val="nil"/>
              <w:bottom w:val="nil"/>
              <w:right w:val="single" w:sz="6" w:space="0" w:color="000000"/>
            </w:tcBorders>
            <w:hideMark/>
          </w:tcPr>
          <w:p w:rsidR="00A24CF2" w:rsidRPr="00A24CF2" w:rsidRDefault="00A24CF2" w:rsidP="00A24CF2">
            <w:pPr>
              <w:spacing w:after="0" w:line="240" w:lineRule="auto"/>
              <w:rPr>
                <w:rFonts w:ascii="Arial" w:eastAsia="Times New Roman" w:hAnsi="Arial" w:cs="Arial"/>
                <w:b/>
                <w:bCs/>
                <w:color w:val="000000"/>
                <w:sz w:val="20"/>
                <w:szCs w:val="20"/>
                <w:lang w:eastAsia="es-CR"/>
              </w:rPr>
            </w:pPr>
            <w:r w:rsidRPr="00A24CF2">
              <w:rPr>
                <w:rFonts w:ascii="Arial" w:eastAsia="Times New Roman" w:hAnsi="Arial" w:cs="Arial"/>
                <w:b/>
                <w:bCs/>
                <w:color w:val="000000"/>
                <w:sz w:val="20"/>
                <w:szCs w:val="20"/>
                <w:lang w:eastAsia="es-CR"/>
              </w:rPr>
              <w:t>Observaciones:</w:t>
            </w:r>
          </w:p>
        </w:tc>
        <w:tc>
          <w:tcPr>
            <w:tcW w:w="2642" w:type="pct"/>
            <w:tcBorders>
              <w:top w:val="single" w:sz="6" w:space="0" w:color="000000"/>
              <w:left w:val="single" w:sz="6" w:space="0" w:color="000000"/>
              <w:bottom w:val="nil"/>
              <w:right w:val="nil"/>
            </w:tcBorders>
            <w:hideMark/>
          </w:tcPr>
          <w:p w:rsidR="00A24CF2" w:rsidRPr="00A24CF2" w:rsidRDefault="00A24CF2" w:rsidP="00A24CF2">
            <w:pPr>
              <w:spacing w:after="0" w:line="240" w:lineRule="auto"/>
              <w:jc w:val="both"/>
              <w:rPr>
                <w:rFonts w:ascii="Arial" w:eastAsia="Times New Roman" w:hAnsi="Arial" w:cs="Arial"/>
                <w:bCs/>
                <w:color w:val="000000"/>
                <w:sz w:val="20"/>
                <w:szCs w:val="20"/>
                <w:lang w:eastAsia="es-CR"/>
              </w:rPr>
            </w:pPr>
            <w:r w:rsidRPr="00A24CF2">
              <w:rPr>
                <w:rFonts w:ascii="Arial" w:eastAsia="Times New Roman" w:hAnsi="Arial" w:cs="Arial"/>
                <w:bCs/>
                <w:color w:val="000000"/>
                <w:sz w:val="20"/>
                <w:szCs w:val="20"/>
                <w:lang w:eastAsia="es-CR"/>
              </w:rPr>
              <w:t>- El Proyecto Condominio Vertical Residencial Lumen atenderá a un asentamiento informal de aproximadamente 41 familias.</w:t>
            </w:r>
          </w:p>
        </w:tc>
      </w:tr>
    </w:tbl>
    <w:p w:rsidR="00A24CF2" w:rsidRPr="00A24CF2" w:rsidRDefault="00A24CF2" w:rsidP="00A24CF2">
      <w:pPr>
        <w:spacing w:after="0" w:line="240" w:lineRule="auto"/>
        <w:rPr>
          <w:rFonts w:ascii="Arial" w:eastAsia="Times New Roman" w:hAnsi="Arial" w:cs="Arial"/>
          <w:b/>
          <w:bCs/>
          <w:color w:val="000000"/>
          <w:sz w:val="20"/>
          <w:szCs w:val="20"/>
          <w:lang w:eastAsia="es-CR"/>
        </w:rPr>
      </w:pPr>
    </w:p>
    <w:p w:rsidR="00A24CF2" w:rsidRPr="00A24CF2" w:rsidRDefault="00A24CF2" w:rsidP="00A24CF2">
      <w:pPr>
        <w:spacing w:after="0" w:line="240" w:lineRule="auto"/>
        <w:jc w:val="both"/>
        <w:rPr>
          <w:rFonts w:ascii="Arial" w:eastAsia="Times New Roman" w:hAnsi="Arial" w:cs="Arial"/>
          <w:bCs/>
          <w:color w:val="000000"/>
          <w:sz w:val="18"/>
          <w:szCs w:val="18"/>
          <w:lang w:eastAsia="es-CR"/>
        </w:rPr>
      </w:pPr>
      <w:r w:rsidRPr="00A24CF2">
        <w:rPr>
          <w:rFonts w:ascii="Arial" w:eastAsia="Times New Roman" w:hAnsi="Arial" w:cs="Arial"/>
          <w:bCs/>
          <w:color w:val="000000"/>
          <w:sz w:val="18"/>
          <w:szCs w:val="18"/>
          <w:lang w:eastAsia="es-CR"/>
        </w:rPr>
        <w:t>Nota Fuente: Informe de rendimiento de cuentas de área. (2017)</w:t>
      </w:r>
    </w:p>
    <w:p w:rsidR="00A24CF2" w:rsidRPr="00A24CF2" w:rsidRDefault="00A24CF2" w:rsidP="00A24CF2">
      <w:pPr>
        <w:spacing w:after="0" w:line="240" w:lineRule="auto"/>
        <w:rPr>
          <w:rFonts w:ascii="Arial" w:eastAsia="Times New Roman" w:hAnsi="Arial" w:cs="Arial"/>
          <w:b/>
          <w:bCs/>
          <w:color w:val="000000"/>
          <w:sz w:val="20"/>
          <w:szCs w:val="20"/>
          <w:lang w:eastAsia="es-CR"/>
        </w:rPr>
      </w:pPr>
      <w:r w:rsidRPr="00A24CF2">
        <w:rPr>
          <w:rFonts w:ascii="Arial" w:eastAsia="Times New Roman" w:hAnsi="Arial" w:cs="Arial"/>
          <w:b/>
          <w:bCs/>
          <w:color w:val="000000"/>
          <w:sz w:val="20"/>
          <w:szCs w:val="20"/>
          <w:lang w:eastAsia="es-CR"/>
        </w:rPr>
        <w:br w:type="page"/>
      </w:r>
    </w:p>
    <w:p w:rsidR="00A24CF2" w:rsidRPr="00A24CF2" w:rsidRDefault="00A24CF2" w:rsidP="00A24CF2">
      <w:pPr>
        <w:spacing w:after="0" w:line="240" w:lineRule="auto"/>
        <w:rPr>
          <w:rFonts w:ascii="Arial" w:eastAsia="Times New Roman" w:hAnsi="Arial" w:cs="Arial"/>
          <w:b/>
          <w:bCs/>
          <w:color w:val="000000"/>
          <w:sz w:val="20"/>
          <w:szCs w:val="20"/>
          <w:lang w:eastAsia="es-CR"/>
        </w:rPr>
      </w:pPr>
    </w:p>
    <w:p w:rsidR="00A24CF2" w:rsidRPr="00A24CF2" w:rsidRDefault="00A24CF2" w:rsidP="00A24CF2">
      <w:pPr>
        <w:spacing w:after="0" w:line="240" w:lineRule="auto"/>
        <w:rPr>
          <w:rFonts w:ascii="Arial" w:eastAsia="Times New Roman" w:hAnsi="Arial" w:cs="Arial"/>
          <w:b/>
          <w:bCs/>
          <w:color w:val="000000"/>
          <w:sz w:val="20"/>
          <w:szCs w:val="20"/>
          <w:lang w:eastAsia="es-CR"/>
        </w:rPr>
      </w:pPr>
      <w:r w:rsidRPr="00A24CF2">
        <w:rPr>
          <w:rFonts w:ascii="Arial" w:eastAsia="Times New Roman" w:hAnsi="Arial" w:cs="Arial"/>
          <w:b/>
          <w:bCs/>
          <w:color w:val="000000"/>
          <w:sz w:val="20"/>
          <w:szCs w:val="20"/>
          <w:lang w:eastAsia="es-CR"/>
        </w:rPr>
        <w:t>Indicador N°20 Porcentaje de avance en las obras de infraestructura, del Proyecto Guararí</w:t>
      </w:r>
    </w:p>
    <w:p w:rsidR="00A24CF2" w:rsidRPr="00A24CF2" w:rsidRDefault="00A24CF2" w:rsidP="00A24CF2">
      <w:pPr>
        <w:spacing w:after="0" w:line="240" w:lineRule="auto"/>
        <w:rPr>
          <w:rFonts w:ascii="Arial" w:eastAsia="Times New Roman" w:hAnsi="Arial" w:cs="Arial"/>
          <w:b/>
          <w:bCs/>
          <w:color w:val="000000"/>
          <w:sz w:val="20"/>
          <w:szCs w:val="20"/>
          <w:lang w:eastAsia="es-CR"/>
        </w:rPr>
      </w:pPr>
    </w:p>
    <w:p w:rsidR="00A24CF2" w:rsidRPr="00672FF2" w:rsidRDefault="00A24CF2" w:rsidP="00672FF2">
      <w:pPr>
        <w:spacing w:after="0" w:line="240" w:lineRule="auto"/>
        <w:jc w:val="both"/>
        <w:rPr>
          <w:rFonts w:ascii="Arial" w:eastAsia="Times New Roman" w:hAnsi="Arial" w:cs="Arial"/>
          <w:bCs/>
          <w:color w:val="000000"/>
          <w:sz w:val="20"/>
          <w:szCs w:val="20"/>
          <w:lang w:eastAsia="es-CR"/>
        </w:rPr>
      </w:pPr>
      <w:r w:rsidRPr="00672FF2">
        <w:rPr>
          <w:rFonts w:ascii="Arial" w:eastAsia="Times New Roman" w:hAnsi="Arial" w:cs="Arial"/>
          <w:bCs/>
          <w:color w:val="000000"/>
          <w:sz w:val="20"/>
          <w:szCs w:val="20"/>
          <w:lang w:eastAsia="es-CR"/>
        </w:rPr>
        <w:t>A diciembre el proyecto Guararí no presenta avance en las obras de infraestructura, porque se encuentra en proceso de aprobación el  financiamiento, por parte del BANHVI.</w:t>
      </w:r>
    </w:p>
    <w:p w:rsidR="00A24CF2" w:rsidRPr="00672FF2" w:rsidRDefault="00A24CF2" w:rsidP="00672FF2">
      <w:pPr>
        <w:spacing w:after="0" w:line="240" w:lineRule="auto"/>
        <w:jc w:val="both"/>
        <w:rPr>
          <w:rFonts w:ascii="Arial" w:eastAsia="Times New Roman" w:hAnsi="Arial" w:cs="Arial"/>
          <w:bCs/>
          <w:color w:val="000000"/>
          <w:sz w:val="20"/>
          <w:szCs w:val="20"/>
          <w:lang w:eastAsia="es-CR"/>
        </w:rPr>
      </w:pPr>
    </w:p>
    <w:p w:rsidR="00A24CF2" w:rsidRPr="00672FF2" w:rsidRDefault="00A24CF2" w:rsidP="00672FF2">
      <w:pPr>
        <w:spacing w:after="0" w:line="240" w:lineRule="auto"/>
        <w:jc w:val="both"/>
        <w:rPr>
          <w:rFonts w:ascii="Arial" w:eastAsia="Times New Roman" w:hAnsi="Arial" w:cs="Arial"/>
          <w:bCs/>
          <w:color w:val="000000"/>
          <w:sz w:val="20"/>
          <w:szCs w:val="20"/>
          <w:lang w:eastAsia="es-CR"/>
        </w:rPr>
      </w:pPr>
    </w:p>
    <w:p w:rsidR="00A24CF2" w:rsidRPr="00672FF2" w:rsidRDefault="00A24CF2" w:rsidP="00672FF2">
      <w:pPr>
        <w:spacing w:after="0" w:line="240" w:lineRule="auto"/>
        <w:jc w:val="both"/>
        <w:rPr>
          <w:rFonts w:ascii="Arial" w:eastAsia="Times New Roman" w:hAnsi="Arial" w:cs="Arial"/>
          <w:bCs/>
          <w:color w:val="000000"/>
          <w:sz w:val="20"/>
          <w:szCs w:val="20"/>
          <w:lang w:eastAsia="es-CR"/>
        </w:rPr>
      </w:pPr>
      <w:r w:rsidRPr="00672FF2">
        <w:rPr>
          <w:rFonts w:ascii="Arial" w:eastAsia="Times New Roman" w:hAnsi="Arial" w:cs="Arial"/>
          <w:bCs/>
          <w:color w:val="000000"/>
          <w:sz w:val="20"/>
          <w:szCs w:val="20"/>
          <w:lang w:eastAsia="es-CR"/>
        </w:rPr>
        <w:t>Seguidamente se muestra un detalle de lo actuado:</w:t>
      </w:r>
    </w:p>
    <w:p w:rsidR="00A24CF2" w:rsidRPr="00A24CF2" w:rsidRDefault="00A24CF2" w:rsidP="00A24CF2">
      <w:pPr>
        <w:spacing w:after="0" w:line="240" w:lineRule="auto"/>
        <w:rPr>
          <w:rFonts w:ascii="Arial" w:eastAsia="Times New Roman" w:hAnsi="Arial" w:cs="Arial"/>
          <w:b/>
          <w:bCs/>
          <w:color w:val="000000"/>
          <w:sz w:val="20"/>
          <w:szCs w:val="20"/>
          <w:lang w:eastAsia="es-CR"/>
        </w:rPr>
      </w:pPr>
    </w:p>
    <w:tbl>
      <w:tblPr>
        <w:tblW w:w="9103" w:type="dxa"/>
        <w:tblBorders>
          <w:insideH w:val="single" w:sz="6" w:space="0" w:color="000000"/>
          <w:insideV w:val="single" w:sz="6" w:space="0" w:color="000000"/>
        </w:tblBorders>
        <w:tblLook w:val="04A0" w:firstRow="1" w:lastRow="0" w:firstColumn="1" w:lastColumn="0" w:noHBand="0" w:noVBand="1"/>
      </w:tblPr>
      <w:tblGrid>
        <w:gridCol w:w="4293"/>
        <w:gridCol w:w="4810"/>
      </w:tblGrid>
      <w:tr w:rsidR="00A24CF2" w:rsidRPr="00A24CF2" w:rsidTr="002D5BDD">
        <w:trPr>
          <w:trHeight w:val="267"/>
        </w:trPr>
        <w:tc>
          <w:tcPr>
            <w:tcW w:w="5000" w:type="pct"/>
            <w:gridSpan w:val="2"/>
            <w:tcBorders>
              <w:top w:val="nil"/>
              <w:left w:val="nil"/>
              <w:bottom w:val="single" w:sz="6" w:space="0" w:color="000000"/>
              <w:right w:val="nil"/>
            </w:tcBorders>
            <w:noWrap/>
          </w:tcPr>
          <w:p w:rsidR="00A24CF2" w:rsidRPr="00A24CF2" w:rsidRDefault="00A24CF2" w:rsidP="00A24CF2">
            <w:pPr>
              <w:spacing w:after="0" w:line="240" w:lineRule="auto"/>
              <w:rPr>
                <w:rFonts w:ascii="Arial" w:eastAsia="Times New Roman" w:hAnsi="Arial" w:cs="Arial"/>
                <w:b/>
                <w:bCs/>
                <w:color w:val="000000"/>
                <w:sz w:val="20"/>
                <w:szCs w:val="20"/>
                <w:lang w:eastAsia="es-CR"/>
              </w:rPr>
            </w:pPr>
          </w:p>
          <w:p w:rsidR="00A24CF2" w:rsidRDefault="00A24CF2" w:rsidP="007013E8">
            <w:pPr>
              <w:spacing w:after="0" w:line="240" w:lineRule="auto"/>
              <w:jc w:val="center"/>
              <w:rPr>
                <w:rFonts w:ascii="Arial" w:eastAsia="Times New Roman" w:hAnsi="Arial" w:cs="Arial"/>
                <w:b/>
                <w:bCs/>
                <w:color w:val="000000"/>
                <w:sz w:val="20"/>
                <w:szCs w:val="20"/>
                <w:lang w:eastAsia="es-CR"/>
              </w:rPr>
            </w:pPr>
            <w:r w:rsidRPr="00A24CF2">
              <w:rPr>
                <w:rFonts w:ascii="Arial" w:eastAsia="Times New Roman" w:hAnsi="Arial" w:cs="Arial"/>
                <w:b/>
                <w:bCs/>
                <w:color w:val="000000"/>
                <w:sz w:val="20"/>
                <w:szCs w:val="20"/>
                <w:lang w:eastAsia="es-CR"/>
              </w:rPr>
              <w:t>Tabla 19 Acciones Realizadas</w:t>
            </w:r>
          </w:p>
          <w:p w:rsidR="007013E8" w:rsidRPr="00A24CF2" w:rsidRDefault="007013E8" w:rsidP="007013E8">
            <w:pPr>
              <w:spacing w:after="0" w:line="240" w:lineRule="auto"/>
              <w:jc w:val="center"/>
              <w:rPr>
                <w:rFonts w:ascii="Arial" w:eastAsia="Times New Roman" w:hAnsi="Arial" w:cs="Arial"/>
                <w:b/>
                <w:bCs/>
                <w:color w:val="000000"/>
                <w:sz w:val="20"/>
                <w:szCs w:val="20"/>
                <w:lang w:eastAsia="es-CR"/>
              </w:rPr>
            </w:pPr>
          </w:p>
        </w:tc>
      </w:tr>
      <w:tr w:rsidR="00A24CF2" w:rsidRPr="00A24CF2" w:rsidTr="002D5BDD">
        <w:trPr>
          <w:trHeight w:val="817"/>
        </w:trPr>
        <w:tc>
          <w:tcPr>
            <w:tcW w:w="2358" w:type="pct"/>
            <w:tcBorders>
              <w:top w:val="single" w:sz="6" w:space="0" w:color="000000"/>
              <w:left w:val="nil"/>
              <w:bottom w:val="single" w:sz="6" w:space="0" w:color="000000"/>
              <w:right w:val="single" w:sz="6" w:space="0" w:color="000000"/>
            </w:tcBorders>
            <w:hideMark/>
          </w:tcPr>
          <w:p w:rsidR="00A24CF2" w:rsidRPr="00A24CF2" w:rsidRDefault="00A24CF2" w:rsidP="00A24CF2">
            <w:pPr>
              <w:spacing w:after="0" w:line="240" w:lineRule="auto"/>
              <w:rPr>
                <w:rFonts w:ascii="Arial" w:eastAsia="Times New Roman" w:hAnsi="Arial" w:cs="Arial"/>
                <w:b/>
                <w:bCs/>
                <w:color w:val="000000"/>
                <w:sz w:val="20"/>
                <w:szCs w:val="20"/>
                <w:lang w:eastAsia="es-CR"/>
              </w:rPr>
            </w:pPr>
            <w:r w:rsidRPr="00A24CF2">
              <w:rPr>
                <w:rFonts w:ascii="Arial" w:eastAsia="Times New Roman" w:hAnsi="Arial" w:cs="Arial"/>
                <w:b/>
                <w:bCs/>
                <w:color w:val="000000"/>
                <w:sz w:val="20"/>
                <w:szCs w:val="20"/>
                <w:lang w:eastAsia="es-CR"/>
              </w:rPr>
              <w:t>a) Actividades realizadas:</w:t>
            </w:r>
          </w:p>
        </w:tc>
        <w:tc>
          <w:tcPr>
            <w:tcW w:w="2642" w:type="pct"/>
            <w:tcBorders>
              <w:top w:val="single" w:sz="6" w:space="0" w:color="000000"/>
              <w:left w:val="single" w:sz="6" w:space="0" w:color="000000"/>
              <w:bottom w:val="single" w:sz="6" w:space="0" w:color="000000"/>
              <w:right w:val="nil"/>
            </w:tcBorders>
          </w:tcPr>
          <w:p w:rsidR="00A24CF2" w:rsidRPr="00672FF2" w:rsidRDefault="00A24CF2" w:rsidP="00672FF2">
            <w:pPr>
              <w:spacing w:after="0" w:line="240" w:lineRule="auto"/>
              <w:jc w:val="both"/>
              <w:rPr>
                <w:rFonts w:ascii="Arial" w:eastAsia="Times New Roman" w:hAnsi="Arial" w:cs="Arial"/>
                <w:bCs/>
                <w:color w:val="000000"/>
                <w:sz w:val="20"/>
                <w:szCs w:val="20"/>
                <w:lang w:eastAsia="es-CR"/>
              </w:rPr>
            </w:pPr>
            <w:r w:rsidRPr="00672FF2">
              <w:rPr>
                <w:rFonts w:ascii="Arial" w:eastAsia="Times New Roman" w:hAnsi="Arial" w:cs="Arial"/>
                <w:bCs/>
                <w:color w:val="000000"/>
                <w:sz w:val="20"/>
                <w:szCs w:val="20"/>
                <w:lang w:eastAsia="es-CR"/>
              </w:rPr>
              <w:t xml:space="preserve">- El proyecto se presentó ante el BANHVI. </w:t>
            </w:r>
          </w:p>
          <w:p w:rsidR="00A24CF2" w:rsidRPr="00672FF2" w:rsidRDefault="00A24CF2" w:rsidP="00672FF2">
            <w:pPr>
              <w:spacing w:after="0" w:line="240" w:lineRule="auto"/>
              <w:jc w:val="both"/>
              <w:rPr>
                <w:rFonts w:ascii="Arial" w:eastAsia="Times New Roman" w:hAnsi="Arial" w:cs="Arial"/>
                <w:bCs/>
                <w:color w:val="000000"/>
                <w:sz w:val="20"/>
                <w:szCs w:val="20"/>
                <w:lang w:eastAsia="es-CR"/>
              </w:rPr>
            </w:pPr>
            <w:r w:rsidRPr="00672FF2">
              <w:rPr>
                <w:rFonts w:ascii="Arial" w:eastAsia="Times New Roman" w:hAnsi="Arial" w:cs="Arial"/>
                <w:bCs/>
                <w:color w:val="000000"/>
                <w:sz w:val="20"/>
                <w:szCs w:val="20"/>
                <w:lang w:eastAsia="es-CR"/>
              </w:rPr>
              <w:t>- El BANHVI preparó los informes técnicos, legales y administrativos para ser sometido a aprobación de la Junta Directiva, de esa institución.</w:t>
            </w:r>
          </w:p>
          <w:p w:rsidR="00A24CF2" w:rsidRPr="00672FF2" w:rsidRDefault="00A24CF2" w:rsidP="00672FF2">
            <w:pPr>
              <w:spacing w:after="0" w:line="240" w:lineRule="auto"/>
              <w:jc w:val="both"/>
              <w:rPr>
                <w:rFonts w:ascii="Arial" w:eastAsia="Times New Roman" w:hAnsi="Arial" w:cs="Arial"/>
                <w:bCs/>
                <w:color w:val="000000"/>
                <w:sz w:val="20"/>
                <w:szCs w:val="20"/>
                <w:lang w:eastAsia="es-CR"/>
              </w:rPr>
            </w:pPr>
            <w:r w:rsidRPr="00672FF2">
              <w:rPr>
                <w:rFonts w:ascii="Arial" w:eastAsia="Times New Roman" w:hAnsi="Arial" w:cs="Arial"/>
                <w:bCs/>
                <w:color w:val="000000"/>
                <w:sz w:val="20"/>
                <w:szCs w:val="20"/>
                <w:lang w:eastAsia="es-CR"/>
              </w:rPr>
              <w:t xml:space="preserve">- Se realizó la gestión de adjudicación de la Licitación Pública para la contratación del diseño y construcción, a la empresa Molina y Arce Construcción y Consultoría. </w:t>
            </w:r>
          </w:p>
        </w:tc>
      </w:tr>
      <w:tr w:rsidR="00A24CF2" w:rsidRPr="00A24CF2" w:rsidTr="002D5BDD">
        <w:trPr>
          <w:trHeight w:val="698"/>
        </w:trPr>
        <w:tc>
          <w:tcPr>
            <w:tcW w:w="2358" w:type="pct"/>
            <w:tcBorders>
              <w:top w:val="single" w:sz="6" w:space="0" w:color="000000"/>
              <w:left w:val="nil"/>
              <w:bottom w:val="single" w:sz="6" w:space="0" w:color="000000"/>
              <w:right w:val="single" w:sz="6" w:space="0" w:color="000000"/>
            </w:tcBorders>
          </w:tcPr>
          <w:p w:rsidR="00A24CF2" w:rsidRPr="00A24CF2" w:rsidRDefault="00A24CF2" w:rsidP="00A24CF2">
            <w:pPr>
              <w:spacing w:after="0" w:line="240" w:lineRule="auto"/>
              <w:rPr>
                <w:rFonts w:ascii="Arial" w:eastAsia="Times New Roman" w:hAnsi="Arial" w:cs="Arial"/>
                <w:b/>
                <w:bCs/>
                <w:color w:val="000000"/>
                <w:sz w:val="20"/>
                <w:szCs w:val="20"/>
                <w:lang w:eastAsia="es-CR"/>
              </w:rPr>
            </w:pPr>
            <w:r w:rsidRPr="00A24CF2">
              <w:rPr>
                <w:rFonts w:ascii="Arial" w:eastAsia="Times New Roman" w:hAnsi="Arial" w:cs="Arial"/>
                <w:b/>
                <w:bCs/>
                <w:color w:val="000000"/>
                <w:sz w:val="20"/>
                <w:szCs w:val="20"/>
                <w:lang w:eastAsia="es-CR"/>
              </w:rPr>
              <w:t xml:space="preserve">b) Limitaciones: </w:t>
            </w:r>
          </w:p>
          <w:p w:rsidR="00A24CF2" w:rsidRPr="00A24CF2" w:rsidRDefault="00A24CF2" w:rsidP="00A24CF2">
            <w:pPr>
              <w:spacing w:after="0" w:line="240" w:lineRule="auto"/>
              <w:rPr>
                <w:rFonts w:ascii="Arial" w:eastAsia="Times New Roman" w:hAnsi="Arial" w:cs="Arial"/>
                <w:b/>
                <w:bCs/>
                <w:color w:val="000000"/>
                <w:sz w:val="20"/>
                <w:szCs w:val="20"/>
                <w:lang w:eastAsia="es-CR"/>
              </w:rPr>
            </w:pPr>
          </w:p>
        </w:tc>
        <w:tc>
          <w:tcPr>
            <w:tcW w:w="2642" w:type="pct"/>
            <w:tcBorders>
              <w:top w:val="single" w:sz="6" w:space="0" w:color="000000"/>
              <w:left w:val="single" w:sz="6" w:space="0" w:color="000000"/>
              <w:bottom w:val="single" w:sz="6" w:space="0" w:color="000000"/>
              <w:right w:val="nil"/>
            </w:tcBorders>
          </w:tcPr>
          <w:p w:rsidR="00A24CF2" w:rsidRPr="00672FF2" w:rsidRDefault="00A24CF2" w:rsidP="00672FF2">
            <w:pPr>
              <w:spacing w:after="0" w:line="240" w:lineRule="auto"/>
              <w:jc w:val="both"/>
              <w:rPr>
                <w:rFonts w:ascii="Arial" w:eastAsia="Times New Roman" w:hAnsi="Arial" w:cs="Arial"/>
                <w:bCs/>
                <w:color w:val="000000"/>
                <w:sz w:val="20"/>
                <w:szCs w:val="20"/>
                <w:lang w:eastAsia="es-CR"/>
              </w:rPr>
            </w:pPr>
            <w:r w:rsidRPr="00672FF2">
              <w:rPr>
                <w:rFonts w:ascii="Arial" w:eastAsia="Times New Roman" w:hAnsi="Arial" w:cs="Arial"/>
                <w:bCs/>
                <w:color w:val="000000"/>
                <w:sz w:val="20"/>
                <w:szCs w:val="20"/>
                <w:lang w:eastAsia="es-CR"/>
              </w:rPr>
              <w:t>- Pendiente la aprobación final del financiamiento del proyecto por parte del BANHVI.</w:t>
            </w:r>
          </w:p>
        </w:tc>
      </w:tr>
      <w:tr w:rsidR="00A24CF2" w:rsidRPr="00A24CF2" w:rsidTr="002D5BDD">
        <w:trPr>
          <w:trHeight w:val="466"/>
        </w:trPr>
        <w:tc>
          <w:tcPr>
            <w:tcW w:w="2358" w:type="pct"/>
            <w:tcBorders>
              <w:top w:val="single" w:sz="6" w:space="0" w:color="000000"/>
              <w:left w:val="nil"/>
              <w:bottom w:val="single" w:sz="6" w:space="0" w:color="000000"/>
              <w:right w:val="single" w:sz="6" w:space="0" w:color="000000"/>
            </w:tcBorders>
            <w:hideMark/>
          </w:tcPr>
          <w:p w:rsidR="00A24CF2" w:rsidRPr="00A24CF2" w:rsidRDefault="00A24CF2" w:rsidP="00A24CF2">
            <w:pPr>
              <w:spacing w:after="0" w:line="240" w:lineRule="auto"/>
              <w:rPr>
                <w:rFonts w:ascii="Arial" w:eastAsia="Times New Roman" w:hAnsi="Arial" w:cs="Arial"/>
                <w:b/>
                <w:bCs/>
                <w:color w:val="000000"/>
                <w:sz w:val="20"/>
                <w:szCs w:val="20"/>
                <w:lang w:eastAsia="es-CR"/>
              </w:rPr>
            </w:pPr>
            <w:r w:rsidRPr="00A24CF2">
              <w:rPr>
                <w:rFonts w:ascii="Arial" w:eastAsia="Times New Roman" w:hAnsi="Arial" w:cs="Arial"/>
                <w:b/>
                <w:bCs/>
                <w:color w:val="000000"/>
                <w:sz w:val="20"/>
                <w:szCs w:val="20"/>
                <w:lang w:eastAsia="es-CR"/>
              </w:rPr>
              <w:t>c) Medidas correctivas o acciones de mejora (realizadas y por realizar) para el logro de la meta:</w:t>
            </w:r>
          </w:p>
        </w:tc>
        <w:tc>
          <w:tcPr>
            <w:tcW w:w="2642" w:type="pct"/>
            <w:tcBorders>
              <w:top w:val="single" w:sz="6" w:space="0" w:color="000000"/>
              <w:left w:val="single" w:sz="6" w:space="0" w:color="000000"/>
              <w:bottom w:val="single" w:sz="6" w:space="0" w:color="000000"/>
              <w:right w:val="nil"/>
            </w:tcBorders>
          </w:tcPr>
          <w:p w:rsidR="00A24CF2" w:rsidRPr="00672FF2" w:rsidRDefault="00A24CF2" w:rsidP="00672FF2">
            <w:pPr>
              <w:spacing w:after="0" w:line="240" w:lineRule="auto"/>
              <w:jc w:val="both"/>
              <w:rPr>
                <w:rFonts w:ascii="Arial" w:eastAsia="Times New Roman" w:hAnsi="Arial" w:cs="Arial"/>
                <w:bCs/>
                <w:color w:val="000000"/>
                <w:sz w:val="20"/>
                <w:szCs w:val="20"/>
                <w:lang w:eastAsia="es-CR"/>
              </w:rPr>
            </w:pPr>
          </w:p>
          <w:p w:rsidR="00A24CF2" w:rsidRPr="00672FF2" w:rsidRDefault="00A24CF2" w:rsidP="00672FF2">
            <w:pPr>
              <w:spacing w:after="0" w:line="240" w:lineRule="auto"/>
              <w:jc w:val="both"/>
              <w:rPr>
                <w:rFonts w:ascii="Arial" w:eastAsia="Times New Roman" w:hAnsi="Arial" w:cs="Arial"/>
                <w:bCs/>
                <w:color w:val="000000"/>
                <w:sz w:val="20"/>
                <w:szCs w:val="20"/>
                <w:lang w:eastAsia="es-CR"/>
              </w:rPr>
            </w:pPr>
          </w:p>
          <w:p w:rsidR="00A24CF2" w:rsidRPr="00672FF2" w:rsidRDefault="00A24CF2" w:rsidP="00672FF2">
            <w:pPr>
              <w:spacing w:after="0" w:line="240" w:lineRule="auto"/>
              <w:jc w:val="both"/>
              <w:rPr>
                <w:rFonts w:ascii="Arial" w:eastAsia="Times New Roman" w:hAnsi="Arial" w:cs="Arial"/>
                <w:bCs/>
                <w:color w:val="000000"/>
                <w:sz w:val="20"/>
                <w:szCs w:val="20"/>
                <w:lang w:eastAsia="es-CR"/>
              </w:rPr>
            </w:pPr>
          </w:p>
        </w:tc>
      </w:tr>
      <w:tr w:rsidR="00A24CF2" w:rsidRPr="00A24CF2" w:rsidTr="002D5BDD">
        <w:trPr>
          <w:trHeight w:val="841"/>
        </w:trPr>
        <w:tc>
          <w:tcPr>
            <w:tcW w:w="2358" w:type="pct"/>
            <w:tcBorders>
              <w:top w:val="single" w:sz="6" w:space="0" w:color="000000"/>
              <w:left w:val="nil"/>
              <w:bottom w:val="nil"/>
              <w:right w:val="single" w:sz="6" w:space="0" w:color="000000"/>
            </w:tcBorders>
            <w:hideMark/>
          </w:tcPr>
          <w:p w:rsidR="00A24CF2" w:rsidRPr="00A24CF2" w:rsidRDefault="00A24CF2" w:rsidP="00A24CF2">
            <w:pPr>
              <w:spacing w:after="0" w:line="240" w:lineRule="auto"/>
              <w:rPr>
                <w:rFonts w:ascii="Arial" w:eastAsia="Times New Roman" w:hAnsi="Arial" w:cs="Arial"/>
                <w:b/>
                <w:bCs/>
                <w:color w:val="000000"/>
                <w:sz w:val="20"/>
                <w:szCs w:val="20"/>
                <w:lang w:eastAsia="es-CR"/>
              </w:rPr>
            </w:pPr>
            <w:r w:rsidRPr="00A24CF2">
              <w:rPr>
                <w:rFonts w:ascii="Arial" w:eastAsia="Times New Roman" w:hAnsi="Arial" w:cs="Arial"/>
                <w:b/>
                <w:bCs/>
                <w:color w:val="000000"/>
                <w:sz w:val="20"/>
                <w:szCs w:val="20"/>
                <w:lang w:eastAsia="es-CR"/>
              </w:rPr>
              <w:t>Observaciones:</w:t>
            </w:r>
          </w:p>
        </w:tc>
        <w:tc>
          <w:tcPr>
            <w:tcW w:w="2642" w:type="pct"/>
            <w:tcBorders>
              <w:top w:val="single" w:sz="6" w:space="0" w:color="000000"/>
              <w:left w:val="single" w:sz="6" w:space="0" w:color="000000"/>
              <w:bottom w:val="nil"/>
              <w:right w:val="nil"/>
            </w:tcBorders>
            <w:hideMark/>
          </w:tcPr>
          <w:p w:rsidR="00A24CF2" w:rsidRPr="00672FF2" w:rsidRDefault="00A24CF2" w:rsidP="00672FF2">
            <w:pPr>
              <w:spacing w:after="0" w:line="240" w:lineRule="auto"/>
              <w:jc w:val="both"/>
              <w:rPr>
                <w:rFonts w:ascii="Arial" w:eastAsia="Times New Roman" w:hAnsi="Arial" w:cs="Arial"/>
                <w:bCs/>
                <w:color w:val="000000"/>
                <w:sz w:val="20"/>
                <w:szCs w:val="20"/>
                <w:lang w:eastAsia="es-CR"/>
              </w:rPr>
            </w:pPr>
            <w:r w:rsidRPr="00672FF2">
              <w:rPr>
                <w:rFonts w:ascii="Arial" w:eastAsia="Times New Roman" w:hAnsi="Arial" w:cs="Arial"/>
                <w:bCs/>
                <w:color w:val="000000"/>
                <w:sz w:val="20"/>
                <w:szCs w:val="20"/>
                <w:lang w:eastAsia="es-CR"/>
              </w:rPr>
              <w:t xml:space="preserve">Pendiente de </w:t>
            </w:r>
            <w:r w:rsidR="00672FF2" w:rsidRPr="00672FF2">
              <w:rPr>
                <w:rFonts w:ascii="Arial" w:eastAsia="Times New Roman" w:hAnsi="Arial" w:cs="Arial"/>
                <w:bCs/>
                <w:color w:val="000000"/>
                <w:sz w:val="20"/>
                <w:szCs w:val="20"/>
                <w:lang w:eastAsia="es-CR"/>
              </w:rPr>
              <w:t>envío</w:t>
            </w:r>
            <w:r w:rsidRPr="00672FF2">
              <w:rPr>
                <w:rFonts w:ascii="Arial" w:eastAsia="Times New Roman" w:hAnsi="Arial" w:cs="Arial"/>
                <w:bCs/>
                <w:color w:val="000000"/>
                <w:sz w:val="20"/>
                <w:szCs w:val="20"/>
                <w:lang w:eastAsia="es-CR"/>
              </w:rPr>
              <w:t xml:space="preserve"> para refrendo por parte de la Contraloría General de la Republica (CGR), el expediente de la adjudicación de la empresa, para  posteriormente efectuar la  firma del contrato con el adjudicatario,  e iniciar los planos de diseño de las obras. </w:t>
            </w:r>
          </w:p>
        </w:tc>
      </w:tr>
    </w:tbl>
    <w:p w:rsidR="00A24CF2" w:rsidRPr="00A24CF2" w:rsidRDefault="00A24CF2" w:rsidP="00A24CF2">
      <w:pPr>
        <w:spacing w:after="0" w:line="240" w:lineRule="auto"/>
        <w:rPr>
          <w:rFonts w:ascii="Arial" w:eastAsia="Times New Roman" w:hAnsi="Arial" w:cs="Arial"/>
          <w:b/>
          <w:bCs/>
          <w:color w:val="000000"/>
          <w:sz w:val="20"/>
          <w:szCs w:val="20"/>
          <w:lang w:eastAsia="es-CR"/>
        </w:rPr>
      </w:pPr>
    </w:p>
    <w:p w:rsidR="00A24CF2" w:rsidRPr="00672FF2" w:rsidRDefault="00A24CF2" w:rsidP="00A24CF2">
      <w:pPr>
        <w:spacing w:after="0" w:line="240" w:lineRule="auto"/>
        <w:rPr>
          <w:rFonts w:ascii="Arial" w:eastAsia="Times New Roman" w:hAnsi="Arial" w:cs="Arial"/>
          <w:bCs/>
          <w:color w:val="000000"/>
          <w:sz w:val="18"/>
          <w:szCs w:val="18"/>
          <w:lang w:eastAsia="es-CR"/>
        </w:rPr>
      </w:pPr>
      <w:r w:rsidRPr="00672FF2">
        <w:rPr>
          <w:rFonts w:ascii="Arial" w:eastAsia="Times New Roman" w:hAnsi="Arial" w:cs="Arial"/>
          <w:bCs/>
          <w:color w:val="000000"/>
          <w:sz w:val="18"/>
          <w:szCs w:val="18"/>
          <w:lang w:eastAsia="es-CR"/>
        </w:rPr>
        <w:t>Nota Fuente: Informe de rendimiento de cuentas de área. (2017)</w:t>
      </w:r>
    </w:p>
    <w:p w:rsidR="00DA62C0" w:rsidRDefault="00DA62C0">
      <w:pPr>
        <w:rPr>
          <w:rFonts w:ascii="Arial" w:eastAsia="Times New Roman" w:hAnsi="Arial" w:cs="Arial"/>
          <w:sz w:val="20"/>
          <w:szCs w:val="20"/>
          <w:lang w:val="es-ES" w:eastAsia="es-ES"/>
        </w:rPr>
      </w:pPr>
    </w:p>
    <w:p w:rsidR="00DA62C0" w:rsidRDefault="00DA62C0">
      <w:pPr>
        <w:rPr>
          <w:rFonts w:ascii="Arial" w:eastAsia="Times New Roman" w:hAnsi="Arial" w:cs="Arial"/>
          <w:sz w:val="20"/>
          <w:szCs w:val="20"/>
          <w:lang w:val="es-ES" w:eastAsia="es-ES"/>
        </w:rPr>
      </w:pPr>
      <w:r>
        <w:rPr>
          <w:rFonts w:ascii="Arial" w:eastAsia="Times New Roman" w:hAnsi="Arial" w:cs="Arial"/>
          <w:sz w:val="20"/>
          <w:szCs w:val="20"/>
          <w:lang w:val="es-ES" w:eastAsia="es-ES"/>
        </w:rPr>
        <w:br w:type="page"/>
      </w:r>
    </w:p>
    <w:p w:rsidR="00672FF2" w:rsidRDefault="00672FF2" w:rsidP="00672FF2">
      <w:pPr>
        <w:rPr>
          <w:rFonts w:ascii="Arial" w:eastAsia="Times New Roman" w:hAnsi="Arial" w:cs="Arial"/>
          <w:b/>
          <w:bCs/>
          <w:color w:val="000000"/>
          <w:sz w:val="20"/>
          <w:szCs w:val="20"/>
          <w:lang w:eastAsia="es-CR"/>
        </w:rPr>
      </w:pPr>
    </w:p>
    <w:p w:rsidR="00672FF2" w:rsidRPr="00672FF2" w:rsidRDefault="00672FF2" w:rsidP="00672FF2">
      <w:pPr>
        <w:rPr>
          <w:rFonts w:ascii="Arial" w:eastAsia="Times New Roman" w:hAnsi="Arial" w:cs="Arial"/>
          <w:b/>
          <w:bCs/>
          <w:color w:val="000000"/>
          <w:sz w:val="20"/>
          <w:szCs w:val="20"/>
          <w:lang w:eastAsia="es-CR"/>
        </w:rPr>
      </w:pPr>
      <w:r w:rsidRPr="00672FF2">
        <w:rPr>
          <w:rFonts w:ascii="Arial" w:eastAsia="Times New Roman" w:hAnsi="Arial" w:cs="Arial"/>
          <w:b/>
          <w:bCs/>
          <w:color w:val="000000"/>
          <w:sz w:val="20"/>
          <w:szCs w:val="20"/>
          <w:lang w:eastAsia="es-CR"/>
        </w:rPr>
        <w:t>PROYECTO EL ERIZO</w:t>
      </w:r>
    </w:p>
    <w:p w:rsidR="00672FF2" w:rsidRPr="00672FF2" w:rsidRDefault="00672FF2" w:rsidP="00672FF2">
      <w:pPr>
        <w:rPr>
          <w:rFonts w:ascii="Arial" w:eastAsia="Times New Roman" w:hAnsi="Arial" w:cs="Arial"/>
          <w:b/>
          <w:bCs/>
          <w:color w:val="000000"/>
          <w:sz w:val="20"/>
          <w:szCs w:val="20"/>
          <w:lang w:eastAsia="es-CR"/>
        </w:rPr>
      </w:pPr>
      <w:r w:rsidRPr="00672FF2">
        <w:rPr>
          <w:rFonts w:ascii="Arial" w:eastAsia="Times New Roman" w:hAnsi="Arial" w:cs="Arial"/>
          <w:b/>
          <w:bCs/>
          <w:color w:val="000000"/>
          <w:sz w:val="20"/>
          <w:szCs w:val="20"/>
          <w:lang w:eastAsia="es-CR"/>
        </w:rPr>
        <w:t>Indicador N°21 Porcentaje de avance en la etapa de preinversión y solicitud de financiamiento</w:t>
      </w:r>
    </w:p>
    <w:p w:rsidR="00672FF2" w:rsidRPr="00672FF2" w:rsidRDefault="00672FF2" w:rsidP="00672FF2">
      <w:pPr>
        <w:rPr>
          <w:rFonts w:ascii="Arial" w:eastAsia="Times New Roman" w:hAnsi="Arial" w:cs="Arial"/>
          <w:bCs/>
          <w:color w:val="000000"/>
          <w:sz w:val="20"/>
          <w:szCs w:val="20"/>
          <w:lang w:eastAsia="es-CR"/>
        </w:rPr>
      </w:pPr>
      <w:r w:rsidRPr="00672FF2">
        <w:rPr>
          <w:rFonts w:ascii="Arial" w:eastAsia="Times New Roman" w:hAnsi="Arial" w:cs="Arial"/>
          <w:bCs/>
          <w:color w:val="000000"/>
          <w:sz w:val="20"/>
          <w:szCs w:val="20"/>
          <w:lang w:eastAsia="es-CR"/>
        </w:rPr>
        <w:t>La etapa de preinversión y solicitud de financiamiento no muestra avance a diciembre, porque se encuentran en proceso la compra de la finca, la cual debe disponer de condiciones aptas para el desarrollo del proyecto.</w:t>
      </w:r>
    </w:p>
    <w:p w:rsidR="00672FF2" w:rsidRDefault="00672FF2" w:rsidP="00672FF2">
      <w:pPr>
        <w:rPr>
          <w:rFonts w:ascii="Arial" w:eastAsia="Times New Roman" w:hAnsi="Arial" w:cs="Arial"/>
          <w:bCs/>
          <w:color w:val="000000"/>
          <w:sz w:val="20"/>
          <w:szCs w:val="20"/>
          <w:lang w:eastAsia="es-CR"/>
        </w:rPr>
      </w:pPr>
      <w:r w:rsidRPr="00672FF2">
        <w:rPr>
          <w:rFonts w:ascii="Arial" w:eastAsia="Times New Roman" w:hAnsi="Arial" w:cs="Arial"/>
          <w:bCs/>
          <w:color w:val="000000"/>
          <w:sz w:val="20"/>
          <w:szCs w:val="20"/>
          <w:lang w:eastAsia="es-CR"/>
        </w:rPr>
        <w:t>Seguidamente se muestra el detalle de lo actuado:</w:t>
      </w:r>
    </w:p>
    <w:p w:rsidR="00672FF2" w:rsidRPr="00672FF2" w:rsidRDefault="00672FF2" w:rsidP="00672FF2">
      <w:pPr>
        <w:spacing w:after="0" w:line="240" w:lineRule="auto"/>
        <w:jc w:val="both"/>
        <w:rPr>
          <w:rFonts w:ascii="Arial" w:eastAsia="Times New Roman" w:hAnsi="Arial" w:cs="Arial"/>
          <w:bCs/>
          <w:color w:val="000000"/>
          <w:sz w:val="20"/>
          <w:szCs w:val="20"/>
          <w:lang w:eastAsia="es-CR"/>
        </w:rPr>
      </w:pPr>
    </w:p>
    <w:tbl>
      <w:tblPr>
        <w:tblW w:w="9103" w:type="dxa"/>
        <w:tblBorders>
          <w:insideH w:val="single" w:sz="6" w:space="0" w:color="000000"/>
          <w:insideV w:val="single" w:sz="6" w:space="0" w:color="000000"/>
        </w:tblBorders>
        <w:tblLook w:val="04A0" w:firstRow="1" w:lastRow="0" w:firstColumn="1" w:lastColumn="0" w:noHBand="0" w:noVBand="1"/>
      </w:tblPr>
      <w:tblGrid>
        <w:gridCol w:w="4293"/>
        <w:gridCol w:w="4810"/>
      </w:tblGrid>
      <w:tr w:rsidR="00672FF2" w:rsidRPr="00672FF2" w:rsidTr="002D5BDD">
        <w:trPr>
          <w:trHeight w:val="270"/>
        </w:trPr>
        <w:tc>
          <w:tcPr>
            <w:tcW w:w="5000" w:type="pct"/>
            <w:gridSpan w:val="2"/>
            <w:tcBorders>
              <w:top w:val="nil"/>
              <w:left w:val="nil"/>
              <w:bottom w:val="single" w:sz="6" w:space="0" w:color="000000"/>
              <w:right w:val="nil"/>
            </w:tcBorders>
            <w:noWrap/>
          </w:tcPr>
          <w:p w:rsidR="00672FF2" w:rsidRPr="00672FF2" w:rsidRDefault="00672FF2" w:rsidP="00672FF2">
            <w:pPr>
              <w:spacing w:after="0" w:line="240" w:lineRule="auto"/>
              <w:jc w:val="center"/>
              <w:rPr>
                <w:rFonts w:ascii="Arial" w:eastAsia="Times New Roman" w:hAnsi="Arial" w:cs="Arial"/>
                <w:b/>
                <w:bCs/>
                <w:color w:val="000000"/>
                <w:sz w:val="20"/>
                <w:szCs w:val="20"/>
                <w:lang w:eastAsia="es-CR"/>
              </w:rPr>
            </w:pPr>
            <w:r w:rsidRPr="00672FF2">
              <w:rPr>
                <w:rFonts w:ascii="Arial" w:eastAsia="Times New Roman" w:hAnsi="Arial" w:cs="Arial"/>
                <w:b/>
                <w:bCs/>
                <w:color w:val="000000"/>
                <w:sz w:val="20"/>
                <w:szCs w:val="20"/>
                <w:lang w:eastAsia="es-CR"/>
              </w:rPr>
              <w:t>Tabla 20 Acciones Realizadas</w:t>
            </w:r>
          </w:p>
        </w:tc>
      </w:tr>
      <w:tr w:rsidR="00672FF2" w:rsidRPr="00672FF2" w:rsidTr="002D5BDD">
        <w:trPr>
          <w:trHeight w:val="825"/>
        </w:trPr>
        <w:tc>
          <w:tcPr>
            <w:tcW w:w="2358" w:type="pct"/>
            <w:tcBorders>
              <w:top w:val="single" w:sz="6" w:space="0" w:color="000000"/>
              <w:left w:val="nil"/>
              <w:bottom w:val="single" w:sz="6" w:space="0" w:color="000000"/>
              <w:right w:val="single" w:sz="6" w:space="0" w:color="000000"/>
            </w:tcBorders>
            <w:hideMark/>
          </w:tcPr>
          <w:p w:rsidR="00672FF2" w:rsidRPr="00672FF2" w:rsidRDefault="00672FF2" w:rsidP="00672FF2">
            <w:pPr>
              <w:spacing w:after="0" w:line="240" w:lineRule="auto"/>
              <w:jc w:val="both"/>
              <w:rPr>
                <w:rFonts w:ascii="Arial" w:eastAsia="Times New Roman" w:hAnsi="Arial" w:cs="Arial"/>
                <w:bCs/>
                <w:color w:val="000000"/>
                <w:sz w:val="20"/>
                <w:szCs w:val="20"/>
                <w:lang w:eastAsia="es-CR"/>
              </w:rPr>
            </w:pPr>
            <w:r w:rsidRPr="00672FF2">
              <w:rPr>
                <w:rFonts w:ascii="Arial" w:eastAsia="Times New Roman" w:hAnsi="Arial" w:cs="Arial"/>
                <w:bCs/>
                <w:color w:val="000000"/>
                <w:sz w:val="20"/>
                <w:szCs w:val="20"/>
                <w:lang w:eastAsia="es-CR"/>
              </w:rPr>
              <w:t>a) Actividades realizadas:</w:t>
            </w:r>
          </w:p>
        </w:tc>
        <w:tc>
          <w:tcPr>
            <w:tcW w:w="2642" w:type="pct"/>
            <w:tcBorders>
              <w:top w:val="single" w:sz="6" w:space="0" w:color="000000"/>
              <w:left w:val="single" w:sz="6" w:space="0" w:color="000000"/>
              <w:bottom w:val="single" w:sz="6" w:space="0" w:color="000000"/>
              <w:right w:val="nil"/>
            </w:tcBorders>
          </w:tcPr>
          <w:p w:rsidR="00672FF2" w:rsidRPr="00672FF2" w:rsidRDefault="00672FF2" w:rsidP="00672FF2">
            <w:pPr>
              <w:spacing w:after="0" w:line="240" w:lineRule="auto"/>
              <w:jc w:val="both"/>
              <w:rPr>
                <w:rFonts w:ascii="Arial" w:eastAsia="Times New Roman" w:hAnsi="Arial" w:cs="Arial"/>
                <w:bCs/>
                <w:color w:val="000000"/>
                <w:sz w:val="20"/>
                <w:szCs w:val="20"/>
                <w:lang w:eastAsia="es-CR"/>
              </w:rPr>
            </w:pPr>
            <w:r w:rsidRPr="00672FF2">
              <w:rPr>
                <w:rFonts w:ascii="Arial" w:eastAsia="Times New Roman" w:hAnsi="Arial" w:cs="Arial"/>
                <w:bCs/>
                <w:color w:val="000000"/>
                <w:sz w:val="20"/>
                <w:szCs w:val="20"/>
                <w:lang w:eastAsia="es-CR"/>
              </w:rPr>
              <w:t>- Para la compra de la finca, se pretende aplicar  el Artículo 139 de la Ley de Contratación Administrativa.</w:t>
            </w:r>
          </w:p>
          <w:p w:rsidR="00672FF2" w:rsidRPr="00672FF2" w:rsidRDefault="00672FF2" w:rsidP="00672FF2">
            <w:pPr>
              <w:spacing w:after="0" w:line="240" w:lineRule="auto"/>
              <w:jc w:val="both"/>
              <w:rPr>
                <w:rFonts w:ascii="Arial" w:eastAsia="Times New Roman" w:hAnsi="Arial" w:cs="Arial"/>
                <w:bCs/>
                <w:color w:val="000000"/>
                <w:sz w:val="20"/>
                <w:szCs w:val="20"/>
                <w:lang w:eastAsia="es-CR"/>
              </w:rPr>
            </w:pPr>
            <w:r w:rsidRPr="00672FF2">
              <w:rPr>
                <w:rFonts w:ascii="Arial" w:eastAsia="Times New Roman" w:hAnsi="Arial" w:cs="Arial"/>
                <w:bCs/>
                <w:color w:val="000000"/>
                <w:sz w:val="20"/>
                <w:szCs w:val="20"/>
                <w:lang w:eastAsia="es-CR"/>
              </w:rPr>
              <w:t xml:space="preserve">- Se publicó el anuncio en el periódico La Nación invitando a personas a que postulen terrenos para la venta.  </w:t>
            </w:r>
          </w:p>
          <w:p w:rsidR="00672FF2" w:rsidRPr="00672FF2" w:rsidRDefault="00672FF2" w:rsidP="00672FF2">
            <w:pPr>
              <w:spacing w:after="0" w:line="240" w:lineRule="auto"/>
              <w:jc w:val="both"/>
              <w:rPr>
                <w:rFonts w:ascii="Arial" w:eastAsia="Times New Roman" w:hAnsi="Arial" w:cs="Arial"/>
                <w:bCs/>
                <w:color w:val="000000"/>
                <w:sz w:val="20"/>
                <w:szCs w:val="20"/>
                <w:lang w:eastAsia="es-CR"/>
              </w:rPr>
            </w:pPr>
            <w:r w:rsidRPr="00672FF2">
              <w:rPr>
                <w:rFonts w:ascii="Arial" w:eastAsia="Times New Roman" w:hAnsi="Arial" w:cs="Arial"/>
                <w:bCs/>
                <w:color w:val="000000"/>
                <w:sz w:val="20"/>
                <w:szCs w:val="20"/>
                <w:lang w:eastAsia="es-CR"/>
              </w:rPr>
              <w:t xml:space="preserve">- </w:t>
            </w:r>
            <w:r w:rsidRPr="00672FF2">
              <w:rPr>
                <w:rFonts w:ascii="Arial" w:eastAsia="Times New Roman" w:hAnsi="Arial" w:cs="Arial"/>
                <w:bCs/>
                <w:color w:val="000000"/>
                <w:sz w:val="20"/>
                <w:szCs w:val="20"/>
                <w:lang w:eastAsia="es-CR"/>
              </w:rPr>
              <w:tab/>
              <w:t>Se inició la recopilación de información de fincas para la evaluación técnica.</w:t>
            </w:r>
          </w:p>
          <w:p w:rsidR="00672FF2" w:rsidRPr="00672FF2" w:rsidRDefault="00672FF2" w:rsidP="00672FF2">
            <w:pPr>
              <w:spacing w:after="0" w:line="240" w:lineRule="auto"/>
              <w:jc w:val="both"/>
              <w:rPr>
                <w:rFonts w:ascii="Arial" w:eastAsia="Times New Roman" w:hAnsi="Arial" w:cs="Arial"/>
                <w:bCs/>
                <w:color w:val="000000"/>
                <w:sz w:val="20"/>
                <w:szCs w:val="20"/>
                <w:lang w:eastAsia="es-CR"/>
              </w:rPr>
            </w:pPr>
            <w:r w:rsidRPr="00672FF2">
              <w:rPr>
                <w:rFonts w:ascii="Arial" w:eastAsia="Times New Roman" w:hAnsi="Arial" w:cs="Arial"/>
                <w:bCs/>
                <w:color w:val="000000"/>
                <w:sz w:val="20"/>
                <w:szCs w:val="20"/>
                <w:lang w:eastAsia="es-CR"/>
              </w:rPr>
              <w:t>-  Se está investigando con Acueductos y Alcantarillados las posibles ubicaciones que cuenten con suficiente recurso hídrico que permita emplazar el proyecto con el fin de centrar la búsqueda de terrenos en las comunidades que presenten mejor infraestructura y capacidad de abastecimiento.</w:t>
            </w:r>
          </w:p>
        </w:tc>
      </w:tr>
      <w:tr w:rsidR="00672FF2" w:rsidRPr="00672FF2" w:rsidTr="002D5BDD">
        <w:trPr>
          <w:trHeight w:val="705"/>
        </w:trPr>
        <w:tc>
          <w:tcPr>
            <w:tcW w:w="2358" w:type="pct"/>
            <w:tcBorders>
              <w:top w:val="single" w:sz="6" w:space="0" w:color="000000"/>
              <w:left w:val="nil"/>
              <w:bottom w:val="single" w:sz="6" w:space="0" w:color="000000"/>
              <w:right w:val="single" w:sz="6" w:space="0" w:color="000000"/>
            </w:tcBorders>
          </w:tcPr>
          <w:p w:rsidR="00672FF2" w:rsidRPr="00672FF2" w:rsidRDefault="00672FF2" w:rsidP="00672FF2">
            <w:pPr>
              <w:spacing w:after="0" w:line="240" w:lineRule="auto"/>
              <w:jc w:val="both"/>
              <w:rPr>
                <w:rFonts w:ascii="Arial" w:eastAsia="Times New Roman" w:hAnsi="Arial" w:cs="Arial"/>
                <w:bCs/>
                <w:color w:val="000000"/>
                <w:sz w:val="20"/>
                <w:szCs w:val="20"/>
                <w:lang w:eastAsia="es-CR"/>
              </w:rPr>
            </w:pPr>
            <w:r w:rsidRPr="00672FF2">
              <w:rPr>
                <w:rFonts w:ascii="Arial" w:eastAsia="Times New Roman" w:hAnsi="Arial" w:cs="Arial"/>
                <w:bCs/>
                <w:color w:val="000000"/>
                <w:sz w:val="20"/>
                <w:szCs w:val="20"/>
                <w:lang w:eastAsia="es-CR"/>
              </w:rPr>
              <w:t xml:space="preserve">b) Limitaciones: </w:t>
            </w:r>
          </w:p>
          <w:p w:rsidR="00672FF2" w:rsidRPr="00672FF2" w:rsidRDefault="00672FF2" w:rsidP="00672FF2">
            <w:pPr>
              <w:spacing w:after="0" w:line="240" w:lineRule="auto"/>
              <w:jc w:val="both"/>
              <w:rPr>
                <w:rFonts w:ascii="Arial" w:eastAsia="Times New Roman" w:hAnsi="Arial" w:cs="Arial"/>
                <w:bCs/>
                <w:color w:val="000000"/>
                <w:sz w:val="20"/>
                <w:szCs w:val="20"/>
                <w:lang w:eastAsia="es-CR"/>
              </w:rPr>
            </w:pPr>
          </w:p>
        </w:tc>
        <w:tc>
          <w:tcPr>
            <w:tcW w:w="2642" w:type="pct"/>
            <w:tcBorders>
              <w:top w:val="single" w:sz="6" w:space="0" w:color="000000"/>
              <w:left w:val="single" w:sz="6" w:space="0" w:color="000000"/>
              <w:bottom w:val="single" w:sz="6" w:space="0" w:color="000000"/>
              <w:right w:val="nil"/>
            </w:tcBorders>
          </w:tcPr>
          <w:p w:rsidR="00672FF2" w:rsidRPr="00672FF2" w:rsidRDefault="00672FF2" w:rsidP="00672FF2">
            <w:pPr>
              <w:spacing w:after="0" w:line="240" w:lineRule="auto"/>
              <w:jc w:val="both"/>
              <w:rPr>
                <w:rFonts w:ascii="Arial" w:eastAsia="Times New Roman" w:hAnsi="Arial" w:cs="Arial"/>
                <w:bCs/>
                <w:color w:val="000000"/>
                <w:sz w:val="20"/>
                <w:szCs w:val="20"/>
                <w:lang w:eastAsia="es-CR"/>
              </w:rPr>
            </w:pPr>
            <w:r w:rsidRPr="00672FF2">
              <w:rPr>
                <w:rFonts w:ascii="Arial" w:eastAsia="Times New Roman" w:hAnsi="Arial" w:cs="Arial"/>
                <w:bCs/>
                <w:color w:val="000000"/>
                <w:sz w:val="20"/>
                <w:szCs w:val="20"/>
                <w:lang w:eastAsia="es-CR"/>
              </w:rPr>
              <w:t>- Existe poca disponibilidad de terrenos aptos y con los servicios básicos necesarios para desarrollar un proyecto de vivienda, cercano al asentamiento informal.</w:t>
            </w:r>
          </w:p>
          <w:p w:rsidR="00672FF2" w:rsidRPr="00672FF2" w:rsidRDefault="00672FF2" w:rsidP="00672FF2">
            <w:pPr>
              <w:spacing w:after="0" w:line="240" w:lineRule="auto"/>
              <w:jc w:val="both"/>
              <w:rPr>
                <w:rFonts w:ascii="Arial" w:eastAsia="Times New Roman" w:hAnsi="Arial" w:cs="Arial"/>
                <w:bCs/>
                <w:color w:val="000000"/>
                <w:sz w:val="20"/>
                <w:szCs w:val="20"/>
                <w:lang w:eastAsia="es-CR"/>
              </w:rPr>
            </w:pPr>
            <w:r w:rsidRPr="00672FF2">
              <w:rPr>
                <w:rFonts w:ascii="Arial" w:eastAsia="Times New Roman" w:hAnsi="Arial" w:cs="Arial"/>
                <w:bCs/>
                <w:color w:val="000000"/>
                <w:sz w:val="20"/>
                <w:szCs w:val="20"/>
                <w:lang w:eastAsia="es-CR"/>
              </w:rPr>
              <w:t xml:space="preserve">- </w:t>
            </w:r>
            <w:r w:rsidRPr="00672FF2">
              <w:rPr>
                <w:rFonts w:ascii="Arial" w:eastAsia="Times New Roman" w:hAnsi="Arial" w:cs="Arial"/>
                <w:bCs/>
                <w:color w:val="000000"/>
                <w:sz w:val="20"/>
                <w:szCs w:val="20"/>
                <w:lang w:eastAsia="es-CR"/>
              </w:rPr>
              <w:tab/>
              <w:t>La ubicación del proyecto que se pretende, se  requiere en una zona urbana, cerca del asentamiento informal, con el objetivo de evitar el desarraigo de la familia, lo que a su vez limita la oferta y adquisición de la tierra a un precio adecuado.</w:t>
            </w:r>
          </w:p>
          <w:p w:rsidR="00672FF2" w:rsidRPr="00672FF2" w:rsidRDefault="00672FF2" w:rsidP="00672FF2">
            <w:pPr>
              <w:spacing w:after="0" w:line="240" w:lineRule="auto"/>
              <w:jc w:val="both"/>
              <w:rPr>
                <w:rFonts w:ascii="Arial" w:eastAsia="Times New Roman" w:hAnsi="Arial" w:cs="Arial"/>
                <w:bCs/>
                <w:color w:val="000000"/>
                <w:sz w:val="20"/>
                <w:szCs w:val="20"/>
                <w:lang w:eastAsia="es-CR"/>
              </w:rPr>
            </w:pPr>
            <w:r w:rsidRPr="00672FF2">
              <w:rPr>
                <w:rFonts w:ascii="Arial" w:eastAsia="Times New Roman" w:hAnsi="Arial" w:cs="Arial"/>
                <w:bCs/>
                <w:color w:val="000000"/>
                <w:sz w:val="20"/>
                <w:szCs w:val="20"/>
                <w:lang w:eastAsia="es-CR"/>
              </w:rPr>
              <w:t>- Disponibilidad de agua escasa en diferentes localidades.</w:t>
            </w:r>
          </w:p>
        </w:tc>
      </w:tr>
      <w:tr w:rsidR="00672FF2" w:rsidRPr="00672FF2" w:rsidTr="002D5BDD">
        <w:trPr>
          <w:trHeight w:val="471"/>
        </w:trPr>
        <w:tc>
          <w:tcPr>
            <w:tcW w:w="2358" w:type="pct"/>
            <w:tcBorders>
              <w:top w:val="single" w:sz="6" w:space="0" w:color="000000"/>
              <w:left w:val="nil"/>
              <w:bottom w:val="single" w:sz="6" w:space="0" w:color="000000"/>
              <w:right w:val="single" w:sz="6" w:space="0" w:color="000000"/>
            </w:tcBorders>
            <w:hideMark/>
          </w:tcPr>
          <w:p w:rsidR="00672FF2" w:rsidRPr="00672FF2" w:rsidRDefault="00672FF2" w:rsidP="00672FF2">
            <w:pPr>
              <w:spacing w:after="0" w:line="240" w:lineRule="auto"/>
              <w:jc w:val="both"/>
              <w:rPr>
                <w:rFonts w:ascii="Arial" w:eastAsia="Times New Roman" w:hAnsi="Arial" w:cs="Arial"/>
                <w:bCs/>
                <w:color w:val="000000"/>
                <w:sz w:val="20"/>
                <w:szCs w:val="20"/>
                <w:lang w:eastAsia="es-CR"/>
              </w:rPr>
            </w:pPr>
            <w:r w:rsidRPr="00672FF2">
              <w:rPr>
                <w:rFonts w:ascii="Arial" w:eastAsia="Times New Roman" w:hAnsi="Arial" w:cs="Arial"/>
                <w:bCs/>
                <w:color w:val="000000"/>
                <w:sz w:val="20"/>
                <w:szCs w:val="20"/>
                <w:lang w:eastAsia="es-CR"/>
              </w:rPr>
              <w:t>c) Medidas correctivas o acciones de mejora (realizadas y por realizar) para el logro de la meta:</w:t>
            </w:r>
          </w:p>
        </w:tc>
        <w:tc>
          <w:tcPr>
            <w:tcW w:w="2642" w:type="pct"/>
            <w:tcBorders>
              <w:top w:val="single" w:sz="6" w:space="0" w:color="000000"/>
              <w:left w:val="single" w:sz="6" w:space="0" w:color="000000"/>
              <w:bottom w:val="single" w:sz="6" w:space="0" w:color="000000"/>
              <w:right w:val="nil"/>
            </w:tcBorders>
          </w:tcPr>
          <w:p w:rsidR="00672FF2" w:rsidRPr="00672FF2" w:rsidRDefault="00672FF2" w:rsidP="00672FF2">
            <w:pPr>
              <w:spacing w:after="0" w:line="240" w:lineRule="auto"/>
              <w:jc w:val="both"/>
              <w:rPr>
                <w:rFonts w:ascii="Arial" w:eastAsia="Times New Roman" w:hAnsi="Arial" w:cs="Arial"/>
                <w:bCs/>
                <w:color w:val="000000"/>
                <w:sz w:val="20"/>
                <w:szCs w:val="20"/>
                <w:lang w:eastAsia="es-CR"/>
              </w:rPr>
            </w:pPr>
            <w:r w:rsidRPr="00672FF2">
              <w:rPr>
                <w:rFonts w:ascii="Arial" w:eastAsia="Times New Roman" w:hAnsi="Arial" w:cs="Arial"/>
                <w:bCs/>
                <w:color w:val="000000"/>
                <w:sz w:val="20"/>
                <w:szCs w:val="20"/>
                <w:lang w:eastAsia="es-CR"/>
              </w:rPr>
              <w:t>Ampliar el radio de búsqueda y valorar fincas un poco más alejadas del asentamiento informal, que se pretende erradicar.</w:t>
            </w:r>
          </w:p>
        </w:tc>
      </w:tr>
      <w:tr w:rsidR="00672FF2" w:rsidRPr="00672FF2" w:rsidTr="002D5BDD">
        <w:trPr>
          <w:trHeight w:val="850"/>
        </w:trPr>
        <w:tc>
          <w:tcPr>
            <w:tcW w:w="2358" w:type="pct"/>
            <w:tcBorders>
              <w:top w:val="single" w:sz="6" w:space="0" w:color="000000"/>
              <w:left w:val="nil"/>
              <w:bottom w:val="nil"/>
              <w:right w:val="single" w:sz="6" w:space="0" w:color="000000"/>
            </w:tcBorders>
            <w:hideMark/>
          </w:tcPr>
          <w:p w:rsidR="00672FF2" w:rsidRPr="00672FF2" w:rsidRDefault="00672FF2" w:rsidP="00672FF2">
            <w:pPr>
              <w:spacing w:after="0" w:line="240" w:lineRule="auto"/>
              <w:jc w:val="both"/>
              <w:rPr>
                <w:rFonts w:ascii="Arial" w:eastAsia="Times New Roman" w:hAnsi="Arial" w:cs="Arial"/>
                <w:bCs/>
                <w:color w:val="000000"/>
                <w:sz w:val="20"/>
                <w:szCs w:val="20"/>
                <w:lang w:eastAsia="es-CR"/>
              </w:rPr>
            </w:pPr>
            <w:r w:rsidRPr="00672FF2">
              <w:rPr>
                <w:rFonts w:ascii="Arial" w:eastAsia="Times New Roman" w:hAnsi="Arial" w:cs="Arial"/>
                <w:bCs/>
                <w:color w:val="000000"/>
                <w:sz w:val="20"/>
                <w:szCs w:val="20"/>
                <w:lang w:eastAsia="es-CR"/>
              </w:rPr>
              <w:t>Observaciones:</w:t>
            </w:r>
          </w:p>
        </w:tc>
        <w:tc>
          <w:tcPr>
            <w:tcW w:w="2642" w:type="pct"/>
            <w:tcBorders>
              <w:top w:val="single" w:sz="6" w:space="0" w:color="000000"/>
              <w:left w:val="single" w:sz="6" w:space="0" w:color="000000"/>
              <w:bottom w:val="nil"/>
              <w:right w:val="nil"/>
            </w:tcBorders>
            <w:hideMark/>
          </w:tcPr>
          <w:p w:rsidR="00672FF2" w:rsidRPr="00672FF2" w:rsidRDefault="00672FF2" w:rsidP="00672FF2">
            <w:pPr>
              <w:spacing w:after="0" w:line="240" w:lineRule="auto"/>
              <w:jc w:val="both"/>
              <w:rPr>
                <w:rFonts w:ascii="Arial" w:eastAsia="Times New Roman" w:hAnsi="Arial" w:cs="Arial"/>
                <w:bCs/>
                <w:color w:val="000000"/>
                <w:sz w:val="20"/>
                <w:szCs w:val="20"/>
                <w:lang w:eastAsia="es-CR"/>
              </w:rPr>
            </w:pPr>
            <w:r w:rsidRPr="00672FF2">
              <w:rPr>
                <w:rFonts w:ascii="Arial" w:eastAsia="Times New Roman" w:hAnsi="Arial" w:cs="Arial"/>
                <w:bCs/>
                <w:color w:val="000000"/>
                <w:sz w:val="20"/>
                <w:szCs w:val="20"/>
                <w:lang w:eastAsia="es-CR"/>
              </w:rPr>
              <w:t>- Dados los diferentes procesos licitatorios que han resultado infructuosos, se espera aplicar el Artículo 139 de la Ley de Contratación Administrativa, para la adquisición del terreno.</w:t>
            </w:r>
          </w:p>
        </w:tc>
      </w:tr>
    </w:tbl>
    <w:p w:rsidR="00672FF2" w:rsidRPr="0028677A" w:rsidRDefault="00672FF2" w:rsidP="00672FF2">
      <w:pPr>
        <w:spacing w:after="0" w:line="240" w:lineRule="auto"/>
        <w:jc w:val="both"/>
        <w:rPr>
          <w:rFonts w:ascii="Arial" w:eastAsia="Times New Roman" w:hAnsi="Arial" w:cs="Arial"/>
          <w:bCs/>
          <w:color w:val="000000"/>
          <w:sz w:val="18"/>
          <w:szCs w:val="18"/>
          <w:lang w:eastAsia="es-CR"/>
        </w:rPr>
      </w:pPr>
      <w:r w:rsidRPr="0028677A">
        <w:rPr>
          <w:rFonts w:ascii="Arial" w:eastAsia="Times New Roman" w:hAnsi="Arial" w:cs="Arial"/>
          <w:bCs/>
          <w:color w:val="000000"/>
          <w:sz w:val="18"/>
          <w:szCs w:val="18"/>
          <w:lang w:eastAsia="es-CR"/>
        </w:rPr>
        <w:t>Nota Fuente: Informe de rendimiento de cuentas de área. (2017)</w:t>
      </w:r>
    </w:p>
    <w:p w:rsidR="00672FF2" w:rsidRPr="00672FF2" w:rsidRDefault="00672FF2" w:rsidP="00672FF2">
      <w:pPr>
        <w:rPr>
          <w:rFonts w:ascii="Arial" w:eastAsia="Times New Roman" w:hAnsi="Arial" w:cs="Arial"/>
          <w:b/>
          <w:bCs/>
          <w:color w:val="000000"/>
          <w:sz w:val="20"/>
          <w:szCs w:val="20"/>
          <w:lang w:eastAsia="es-CR"/>
        </w:rPr>
      </w:pPr>
      <w:r w:rsidRPr="00672FF2">
        <w:rPr>
          <w:rFonts w:ascii="Arial" w:eastAsia="Times New Roman" w:hAnsi="Arial" w:cs="Arial"/>
          <w:b/>
          <w:bCs/>
          <w:color w:val="000000"/>
          <w:sz w:val="20"/>
          <w:szCs w:val="20"/>
          <w:lang w:eastAsia="es-CR"/>
        </w:rPr>
        <w:br w:type="page"/>
      </w:r>
      <w:r w:rsidRPr="00672FF2">
        <w:rPr>
          <w:rFonts w:ascii="Arial" w:eastAsia="Times New Roman" w:hAnsi="Arial" w:cs="Arial"/>
          <w:b/>
          <w:bCs/>
          <w:color w:val="000000"/>
          <w:sz w:val="20"/>
          <w:szCs w:val="20"/>
          <w:lang w:eastAsia="es-CR"/>
        </w:rPr>
        <w:lastRenderedPageBreak/>
        <w:t xml:space="preserve">PROYECTO HOJANCHA </w:t>
      </w:r>
    </w:p>
    <w:p w:rsidR="00672FF2" w:rsidRPr="00672FF2" w:rsidRDefault="00672FF2" w:rsidP="00672FF2">
      <w:pPr>
        <w:spacing w:after="0" w:line="240" w:lineRule="auto"/>
        <w:jc w:val="both"/>
        <w:rPr>
          <w:rFonts w:ascii="Arial" w:eastAsia="Times New Roman" w:hAnsi="Arial" w:cs="Arial"/>
          <w:b/>
          <w:sz w:val="20"/>
          <w:szCs w:val="20"/>
          <w:lang w:eastAsia="es-ES"/>
        </w:rPr>
      </w:pPr>
      <w:r w:rsidRPr="00672FF2">
        <w:rPr>
          <w:rFonts w:ascii="Arial" w:eastAsia="Times New Roman" w:hAnsi="Arial" w:cs="Arial"/>
          <w:b/>
          <w:sz w:val="20"/>
          <w:szCs w:val="20"/>
          <w:lang w:eastAsia="es-ES"/>
        </w:rPr>
        <w:t>Indicador N°22 Porcentaje de avance en la etapa de ejecución</w:t>
      </w:r>
    </w:p>
    <w:p w:rsidR="00672FF2" w:rsidRPr="00672FF2" w:rsidRDefault="00672FF2" w:rsidP="00672FF2">
      <w:pPr>
        <w:spacing w:after="0" w:line="240" w:lineRule="auto"/>
        <w:jc w:val="both"/>
        <w:rPr>
          <w:rFonts w:ascii="Arial" w:eastAsia="Times New Roman" w:hAnsi="Arial" w:cs="Arial"/>
          <w:b/>
          <w:sz w:val="20"/>
          <w:szCs w:val="20"/>
          <w:lang w:eastAsia="es-ES"/>
        </w:rPr>
      </w:pPr>
    </w:p>
    <w:p w:rsidR="00672FF2" w:rsidRPr="00672FF2" w:rsidRDefault="00672FF2" w:rsidP="00672FF2">
      <w:pPr>
        <w:spacing w:after="0" w:line="240" w:lineRule="auto"/>
        <w:jc w:val="both"/>
        <w:rPr>
          <w:rFonts w:ascii="Arial" w:eastAsia="Times New Roman" w:hAnsi="Arial" w:cs="Arial"/>
          <w:sz w:val="20"/>
          <w:szCs w:val="20"/>
          <w:lang w:eastAsia="es-ES"/>
        </w:rPr>
      </w:pPr>
      <w:r w:rsidRPr="00672FF2">
        <w:rPr>
          <w:rFonts w:ascii="Arial" w:eastAsia="Times New Roman" w:hAnsi="Arial" w:cs="Arial"/>
          <w:sz w:val="20"/>
          <w:szCs w:val="20"/>
          <w:lang w:eastAsia="es-ES"/>
        </w:rPr>
        <w:t>La etapa de ejecución no muestra avance a diciembre, porque se encuentra en proceso la resolución de una  diferencia  presentada entre el BANHVI y el INVU, por el valor de los terrenos para el desarrollo del proyecto.</w:t>
      </w:r>
    </w:p>
    <w:p w:rsidR="00672FF2" w:rsidRPr="00672FF2" w:rsidRDefault="00672FF2" w:rsidP="00672FF2">
      <w:pPr>
        <w:spacing w:after="0" w:line="240" w:lineRule="auto"/>
        <w:jc w:val="both"/>
        <w:rPr>
          <w:rFonts w:ascii="Arial" w:eastAsia="Times New Roman" w:hAnsi="Arial" w:cs="Arial"/>
          <w:sz w:val="20"/>
          <w:szCs w:val="20"/>
          <w:lang w:eastAsia="es-ES"/>
        </w:rPr>
      </w:pPr>
    </w:p>
    <w:p w:rsidR="00672FF2" w:rsidRPr="00672FF2" w:rsidRDefault="00672FF2" w:rsidP="00672FF2">
      <w:pPr>
        <w:spacing w:after="0" w:line="240" w:lineRule="auto"/>
        <w:jc w:val="both"/>
        <w:rPr>
          <w:rFonts w:ascii="Arial" w:eastAsia="Times New Roman" w:hAnsi="Arial" w:cs="Arial"/>
          <w:sz w:val="20"/>
          <w:szCs w:val="20"/>
          <w:lang w:eastAsia="es-ES"/>
        </w:rPr>
      </w:pPr>
      <w:r w:rsidRPr="00672FF2">
        <w:rPr>
          <w:rFonts w:ascii="Arial" w:eastAsia="Times New Roman" w:hAnsi="Arial" w:cs="Arial"/>
          <w:sz w:val="20"/>
          <w:szCs w:val="20"/>
          <w:lang w:eastAsia="es-ES"/>
        </w:rPr>
        <w:t>Seguidamente se muestra el detalle de lo actuado:</w:t>
      </w:r>
    </w:p>
    <w:tbl>
      <w:tblPr>
        <w:tblW w:w="9103" w:type="dxa"/>
        <w:tblBorders>
          <w:insideH w:val="single" w:sz="6" w:space="0" w:color="000000"/>
          <w:insideV w:val="single" w:sz="6" w:space="0" w:color="000000"/>
        </w:tblBorders>
        <w:tblLook w:val="04A0" w:firstRow="1" w:lastRow="0" w:firstColumn="1" w:lastColumn="0" w:noHBand="0" w:noVBand="1"/>
      </w:tblPr>
      <w:tblGrid>
        <w:gridCol w:w="4293"/>
        <w:gridCol w:w="4810"/>
      </w:tblGrid>
      <w:tr w:rsidR="00672FF2" w:rsidRPr="0028677A" w:rsidTr="002D5BDD">
        <w:trPr>
          <w:trHeight w:val="270"/>
        </w:trPr>
        <w:tc>
          <w:tcPr>
            <w:tcW w:w="5000" w:type="pct"/>
            <w:gridSpan w:val="2"/>
            <w:shd w:val="clear" w:color="auto" w:fill="auto"/>
            <w:noWrap/>
            <w:hideMark/>
          </w:tcPr>
          <w:p w:rsidR="00672FF2" w:rsidRPr="007013E8" w:rsidRDefault="00672FF2" w:rsidP="00672FF2">
            <w:pPr>
              <w:spacing w:after="0" w:line="240" w:lineRule="auto"/>
              <w:jc w:val="both"/>
              <w:rPr>
                <w:rFonts w:ascii="Arial" w:eastAsia="Times New Roman" w:hAnsi="Arial" w:cs="Arial"/>
                <w:b/>
                <w:sz w:val="20"/>
                <w:szCs w:val="20"/>
                <w:lang w:eastAsia="es-ES"/>
              </w:rPr>
            </w:pPr>
            <w:r w:rsidRPr="007013E8">
              <w:rPr>
                <w:rFonts w:ascii="Arial" w:eastAsia="Times New Roman" w:hAnsi="Arial" w:cs="Arial"/>
                <w:b/>
                <w:sz w:val="20"/>
                <w:szCs w:val="20"/>
                <w:lang w:eastAsia="es-ES"/>
              </w:rPr>
              <w:t xml:space="preserve"> </w:t>
            </w:r>
          </w:p>
          <w:p w:rsidR="00672FF2" w:rsidRPr="007013E8" w:rsidRDefault="00672FF2" w:rsidP="00672FF2">
            <w:pPr>
              <w:spacing w:after="0" w:line="240" w:lineRule="auto"/>
              <w:jc w:val="center"/>
              <w:rPr>
                <w:rFonts w:ascii="Arial" w:eastAsia="Times New Roman" w:hAnsi="Arial" w:cs="Arial"/>
                <w:b/>
                <w:sz w:val="20"/>
                <w:szCs w:val="20"/>
                <w:lang w:eastAsia="es-ES"/>
              </w:rPr>
            </w:pPr>
            <w:r w:rsidRPr="007013E8">
              <w:rPr>
                <w:rFonts w:ascii="Arial" w:eastAsia="Times New Roman" w:hAnsi="Arial" w:cs="Arial"/>
                <w:b/>
                <w:sz w:val="20"/>
                <w:szCs w:val="20"/>
                <w:lang w:eastAsia="es-ES"/>
              </w:rPr>
              <w:t>Tabla 21 Acciones Realizadas</w:t>
            </w:r>
          </w:p>
        </w:tc>
      </w:tr>
      <w:tr w:rsidR="00672FF2" w:rsidRPr="0028677A" w:rsidTr="002D5BDD">
        <w:trPr>
          <w:trHeight w:val="825"/>
        </w:trPr>
        <w:tc>
          <w:tcPr>
            <w:tcW w:w="2358" w:type="pct"/>
            <w:shd w:val="clear" w:color="auto" w:fill="auto"/>
            <w:hideMark/>
          </w:tcPr>
          <w:p w:rsidR="00672FF2" w:rsidRPr="0028677A" w:rsidRDefault="00672FF2" w:rsidP="00672FF2">
            <w:pPr>
              <w:spacing w:after="0" w:line="240" w:lineRule="auto"/>
              <w:jc w:val="both"/>
              <w:rPr>
                <w:rFonts w:ascii="Arial" w:eastAsia="Times New Roman" w:hAnsi="Arial" w:cs="Arial"/>
                <w:b/>
                <w:sz w:val="18"/>
                <w:szCs w:val="18"/>
                <w:lang w:eastAsia="es-ES"/>
              </w:rPr>
            </w:pPr>
            <w:r w:rsidRPr="0028677A">
              <w:rPr>
                <w:rFonts w:ascii="Arial" w:eastAsia="Times New Roman" w:hAnsi="Arial" w:cs="Arial"/>
                <w:b/>
                <w:sz w:val="18"/>
                <w:szCs w:val="18"/>
                <w:lang w:eastAsia="es-ES"/>
              </w:rPr>
              <w:t>a) Actividades realizadas:</w:t>
            </w:r>
          </w:p>
        </w:tc>
        <w:tc>
          <w:tcPr>
            <w:tcW w:w="2642" w:type="pct"/>
            <w:shd w:val="clear" w:color="auto" w:fill="auto"/>
          </w:tcPr>
          <w:p w:rsidR="00672FF2" w:rsidRPr="0028677A" w:rsidRDefault="00672FF2" w:rsidP="00672FF2">
            <w:pPr>
              <w:spacing w:after="0" w:line="240" w:lineRule="auto"/>
              <w:jc w:val="both"/>
              <w:rPr>
                <w:rFonts w:ascii="Arial" w:eastAsia="Times New Roman" w:hAnsi="Arial" w:cs="Arial"/>
                <w:sz w:val="18"/>
                <w:szCs w:val="18"/>
                <w:lang w:eastAsia="es-ES"/>
              </w:rPr>
            </w:pPr>
            <w:r w:rsidRPr="0028677A">
              <w:rPr>
                <w:rFonts w:ascii="Arial" w:eastAsia="Times New Roman" w:hAnsi="Arial" w:cs="Arial"/>
                <w:sz w:val="18"/>
                <w:szCs w:val="18"/>
                <w:lang w:eastAsia="es-ES"/>
              </w:rPr>
              <w:t xml:space="preserve">- Recepción de la garantía de cumplimiento de la empresa constructora, que va a ejecutar las obras.  </w:t>
            </w:r>
          </w:p>
          <w:p w:rsidR="00672FF2" w:rsidRPr="0028677A" w:rsidRDefault="00672FF2" w:rsidP="00672FF2">
            <w:pPr>
              <w:spacing w:after="0" w:line="240" w:lineRule="auto"/>
              <w:jc w:val="both"/>
              <w:rPr>
                <w:rFonts w:ascii="Arial" w:eastAsia="Times New Roman" w:hAnsi="Arial" w:cs="Arial"/>
                <w:sz w:val="18"/>
                <w:szCs w:val="18"/>
                <w:lang w:eastAsia="es-ES"/>
              </w:rPr>
            </w:pPr>
            <w:r w:rsidRPr="0028677A">
              <w:rPr>
                <w:rFonts w:ascii="Arial" w:eastAsia="Times New Roman" w:hAnsi="Arial" w:cs="Arial"/>
                <w:sz w:val="18"/>
                <w:szCs w:val="18"/>
                <w:lang w:eastAsia="es-ES"/>
              </w:rPr>
              <w:t>- Emisión por parte del Registro Nacional de una cédula hipotecaria sobre uno de los terrenos, como garantía para el BANHVI.</w:t>
            </w:r>
          </w:p>
          <w:p w:rsidR="00672FF2" w:rsidRPr="0028677A" w:rsidRDefault="00672FF2" w:rsidP="00672FF2">
            <w:pPr>
              <w:spacing w:after="0" w:line="240" w:lineRule="auto"/>
              <w:jc w:val="both"/>
              <w:rPr>
                <w:rFonts w:ascii="Arial" w:eastAsia="Times New Roman" w:hAnsi="Arial" w:cs="Arial"/>
                <w:sz w:val="18"/>
                <w:szCs w:val="18"/>
                <w:lang w:eastAsia="es-ES"/>
              </w:rPr>
            </w:pPr>
            <w:r w:rsidRPr="0028677A">
              <w:rPr>
                <w:rFonts w:ascii="Arial" w:eastAsia="Times New Roman" w:hAnsi="Arial" w:cs="Arial"/>
                <w:sz w:val="18"/>
                <w:szCs w:val="18"/>
                <w:lang w:eastAsia="es-ES"/>
              </w:rPr>
              <w:t>- Se finalizó la rectificación de la medida del terreno para generar la modificación registral  y solicitar la emisión de la cédula hipotecaria sobre el segundo terreno, como garantía para el BANHVI.</w:t>
            </w:r>
          </w:p>
          <w:p w:rsidR="00672FF2" w:rsidRPr="0028677A" w:rsidRDefault="00672FF2" w:rsidP="00672FF2">
            <w:pPr>
              <w:spacing w:after="0" w:line="240" w:lineRule="auto"/>
              <w:jc w:val="both"/>
              <w:rPr>
                <w:rFonts w:ascii="Arial" w:eastAsia="Times New Roman" w:hAnsi="Arial" w:cs="Arial"/>
                <w:sz w:val="18"/>
                <w:szCs w:val="18"/>
                <w:lang w:eastAsia="es-ES"/>
              </w:rPr>
            </w:pPr>
            <w:r w:rsidRPr="0028677A">
              <w:rPr>
                <w:rFonts w:ascii="Arial" w:eastAsia="Times New Roman" w:hAnsi="Arial" w:cs="Arial"/>
                <w:sz w:val="18"/>
                <w:szCs w:val="18"/>
                <w:lang w:eastAsia="es-ES"/>
              </w:rPr>
              <w:t>- En proceso de aprobación por parte del BANHVI de los contratos: Entidad Autorizada Empresa Constructora y Administración de Recursos.</w:t>
            </w:r>
          </w:p>
          <w:p w:rsidR="00672FF2" w:rsidRPr="0028677A" w:rsidRDefault="00672FF2" w:rsidP="00672FF2">
            <w:pPr>
              <w:spacing w:after="0" w:line="240" w:lineRule="auto"/>
              <w:jc w:val="both"/>
              <w:rPr>
                <w:rFonts w:ascii="Arial" w:eastAsia="Times New Roman" w:hAnsi="Arial" w:cs="Arial"/>
                <w:sz w:val="18"/>
                <w:szCs w:val="18"/>
                <w:lang w:eastAsia="es-ES"/>
              </w:rPr>
            </w:pPr>
            <w:r w:rsidRPr="0028677A">
              <w:rPr>
                <w:rFonts w:ascii="Arial" w:eastAsia="Times New Roman" w:hAnsi="Arial" w:cs="Arial"/>
                <w:sz w:val="18"/>
                <w:szCs w:val="18"/>
                <w:lang w:eastAsia="es-ES"/>
              </w:rPr>
              <w:t>- Se remite el oficio DPH-UPH-365-2017 indicando a la DPH que no se puede firmar el contrato con la empresa STC, ya que el BANHVI no le ha dado visto bueno, a pesar de que los contratos fueron enviados para aprobación, desde el mes de mayo.</w:t>
            </w:r>
          </w:p>
          <w:p w:rsidR="00672FF2" w:rsidRPr="0028677A" w:rsidRDefault="00672FF2" w:rsidP="00672FF2">
            <w:pPr>
              <w:spacing w:after="0" w:line="240" w:lineRule="auto"/>
              <w:jc w:val="both"/>
              <w:rPr>
                <w:rFonts w:ascii="Arial" w:eastAsia="Times New Roman" w:hAnsi="Arial" w:cs="Arial"/>
                <w:sz w:val="18"/>
                <w:szCs w:val="18"/>
                <w:lang w:eastAsia="es-ES"/>
              </w:rPr>
            </w:pPr>
            <w:r w:rsidRPr="0028677A">
              <w:rPr>
                <w:rFonts w:ascii="Arial" w:eastAsia="Times New Roman" w:hAnsi="Arial" w:cs="Arial"/>
                <w:sz w:val="18"/>
                <w:szCs w:val="18"/>
                <w:lang w:eastAsia="es-ES"/>
              </w:rPr>
              <w:t>- Mediante oficios DPH-472-2017, PE-444-07-2017 y JD-241-2017 se indica que la institución se encuentra en desacuerdo con la estimación del avalúo realizado por el BANHVI, ya que se encuentra muy por debajo del valor del inmueble.</w:t>
            </w:r>
          </w:p>
          <w:p w:rsidR="00672FF2" w:rsidRPr="0028677A" w:rsidRDefault="00672FF2" w:rsidP="00672FF2">
            <w:pPr>
              <w:spacing w:after="0" w:line="240" w:lineRule="auto"/>
              <w:jc w:val="both"/>
              <w:rPr>
                <w:rFonts w:ascii="Arial" w:eastAsia="Times New Roman" w:hAnsi="Arial" w:cs="Arial"/>
                <w:sz w:val="18"/>
                <w:szCs w:val="18"/>
                <w:lang w:eastAsia="es-ES"/>
              </w:rPr>
            </w:pPr>
            <w:r w:rsidRPr="0028677A">
              <w:rPr>
                <w:rFonts w:ascii="Arial" w:eastAsia="Times New Roman" w:hAnsi="Arial" w:cs="Arial"/>
                <w:sz w:val="18"/>
                <w:szCs w:val="18"/>
                <w:lang w:eastAsia="es-ES"/>
              </w:rPr>
              <w:t>Ambas instituciones en coordinación deciden solicitar al Ministerio de Hacienda, que realice un avalúo, que será aceptado por ambas instituciones, para determinar el monto real del inmueble. Por medio del oficio PE-0639-09-2017 la institución se compromete a aceptar el valor brindado por Ministerio de Hacienda.</w:t>
            </w:r>
          </w:p>
        </w:tc>
      </w:tr>
      <w:tr w:rsidR="00672FF2" w:rsidRPr="0028677A" w:rsidTr="002D5BDD">
        <w:trPr>
          <w:trHeight w:val="705"/>
        </w:trPr>
        <w:tc>
          <w:tcPr>
            <w:tcW w:w="2358" w:type="pct"/>
            <w:shd w:val="clear" w:color="auto" w:fill="auto"/>
            <w:hideMark/>
          </w:tcPr>
          <w:p w:rsidR="00672FF2" w:rsidRPr="0028677A" w:rsidRDefault="00672FF2" w:rsidP="00672FF2">
            <w:pPr>
              <w:spacing w:after="0" w:line="240" w:lineRule="auto"/>
              <w:jc w:val="both"/>
              <w:rPr>
                <w:rFonts w:ascii="Arial" w:eastAsia="Times New Roman" w:hAnsi="Arial" w:cs="Arial"/>
                <w:b/>
                <w:sz w:val="18"/>
                <w:szCs w:val="18"/>
                <w:lang w:eastAsia="es-ES"/>
              </w:rPr>
            </w:pPr>
            <w:r w:rsidRPr="0028677A">
              <w:rPr>
                <w:rFonts w:ascii="Arial" w:eastAsia="Times New Roman" w:hAnsi="Arial" w:cs="Arial"/>
                <w:b/>
                <w:sz w:val="18"/>
                <w:szCs w:val="18"/>
                <w:lang w:eastAsia="es-ES"/>
              </w:rPr>
              <w:t xml:space="preserve">b) Limitaciones: </w:t>
            </w:r>
          </w:p>
          <w:p w:rsidR="00672FF2" w:rsidRPr="0028677A" w:rsidRDefault="00672FF2" w:rsidP="00672FF2">
            <w:pPr>
              <w:spacing w:after="0" w:line="240" w:lineRule="auto"/>
              <w:jc w:val="both"/>
              <w:rPr>
                <w:rFonts w:ascii="Arial" w:eastAsia="Times New Roman" w:hAnsi="Arial" w:cs="Arial"/>
                <w:b/>
                <w:sz w:val="18"/>
                <w:szCs w:val="18"/>
                <w:lang w:eastAsia="es-ES"/>
              </w:rPr>
            </w:pPr>
          </w:p>
          <w:p w:rsidR="00672FF2" w:rsidRPr="0028677A" w:rsidRDefault="00672FF2" w:rsidP="00672FF2">
            <w:pPr>
              <w:spacing w:after="0" w:line="240" w:lineRule="auto"/>
              <w:jc w:val="both"/>
              <w:rPr>
                <w:rFonts w:ascii="Arial" w:eastAsia="Times New Roman" w:hAnsi="Arial" w:cs="Arial"/>
                <w:b/>
                <w:sz w:val="18"/>
                <w:szCs w:val="18"/>
                <w:lang w:eastAsia="es-ES"/>
              </w:rPr>
            </w:pPr>
          </w:p>
        </w:tc>
        <w:tc>
          <w:tcPr>
            <w:tcW w:w="2642" w:type="pct"/>
            <w:shd w:val="clear" w:color="auto" w:fill="auto"/>
          </w:tcPr>
          <w:p w:rsidR="00672FF2" w:rsidRPr="0028677A" w:rsidRDefault="00672FF2" w:rsidP="0028677A">
            <w:pPr>
              <w:spacing w:after="0" w:line="240" w:lineRule="auto"/>
              <w:jc w:val="both"/>
              <w:rPr>
                <w:rFonts w:ascii="Arial" w:eastAsia="Times New Roman" w:hAnsi="Arial" w:cs="Arial"/>
                <w:sz w:val="18"/>
                <w:szCs w:val="18"/>
                <w:lang w:eastAsia="es-ES"/>
              </w:rPr>
            </w:pPr>
            <w:r w:rsidRPr="0028677A">
              <w:rPr>
                <w:rFonts w:ascii="Arial" w:eastAsia="Times New Roman" w:hAnsi="Arial" w:cs="Arial"/>
                <w:sz w:val="18"/>
                <w:szCs w:val="18"/>
                <w:lang w:eastAsia="es-ES"/>
              </w:rPr>
              <w:t xml:space="preserve">- Retrasos para iniciar el proyecto por variación en el valor de los terrenos (aprobado en el Acuerdo 1 del Acta 80-2015 y porque se debe contar con el nuevo avalúo para que el BANHVI, </w:t>
            </w:r>
            <w:r w:rsidR="0028677A" w:rsidRPr="0028677A">
              <w:rPr>
                <w:rFonts w:ascii="Arial" w:eastAsia="Times New Roman" w:hAnsi="Arial" w:cs="Arial"/>
                <w:sz w:val="18"/>
                <w:szCs w:val="18"/>
                <w:lang w:eastAsia="es-ES"/>
              </w:rPr>
              <w:t>dé</w:t>
            </w:r>
            <w:r w:rsidRPr="0028677A">
              <w:rPr>
                <w:rFonts w:ascii="Arial" w:eastAsia="Times New Roman" w:hAnsi="Arial" w:cs="Arial"/>
                <w:sz w:val="18"/>
                <w:szCs w:val="18"/>
                <w:lang w:eastAsia="es-ES"/>
              </w:rPr>
              <w:t xml:space="preserve"> el visto bueno al valor de los terrenos e iniciar el proyecto.</w:t>
            </w:r>
          </w:p>
        </w:tc>
      </w:tr>
      <w:tr w:rsidR="00672FF2" w:rsidRPr="0028677A" w:rsidTr="002D5BDD">
        <w:trPr>
          <w:trHeight w:val="471"/>
        </w:trPr>
        <w:tc>
          <w:tcPr>
            <w:tcW w:w="2358" w:type="pct"/>
            <w:shd w:val="clear" w:color="auto" w:fill="auto"/>
            <w:hideMark/>
          </w:tcPr>
          <w:p w:rsidR="00672FF2" w:rsidRPr="0028677A" w:rsidRDefault="00672FF2" w:rsidP="00672FF2">
            <w:pPr>
              <w:spacing w:after="0" w:line="240" w:lineRule="auto"/>
              <w:jc w:val="both"/>
              <w:rPr>
                <w:rFonts w:ascii="Arial" w:eastAsia="Times New Roman" w:hAnsi="Arial" w:cs="Arial"/>
                <w:b/>
                <w:sz w:val="18"/>
                <w:szCs w:val="18"/>
                <w:lang w:eastAsia="es-ES"/>
              </w:rPr>
            </w:pPr>
            <w:r w:rsidRPr="0028677A">
              <w:rPr>
                <w:rFonts w:ascii="Arial" w:eastAsia="Times New Roman" w:hAnsi="Arial" w:cs="Arial"/>
                <w:b/>
                <w:sz w:val="18"/>
                <w:szCs w:val="18"/>
                <w:lang w:eastAsia="es-ES"/>
              </w:rPr>
              <w:t>c) Medidas correctivas o acciones de mejora (realizadas y por realizar) para el logro de la meta:</w:t>
            </w:r>
          </w:p>
        </w:tc>
        <w:tc>
          <w:tcPr>
            <w:tcW w:w="2642" w:type="pct"/>
            <w:shd w:val="clear" w:color="auto" w:fill="auto"/>
          </w:tcPr>
          <w:p w:rsidR="00672FF2" w:rsidRPr="0028677A" w:rsidRDefault="00672FF2" w:rsidP="00672FF2">
            <w:pPr>
              <w:spacing w:after="0" w:line="240" w:lineRule="auto"/>
              <w:jc w:val="both"/>
              <w:rPr>
                <w:rFonts w:ascii="Arial" w:eastAsia="Times New Roman" w:hAnsi="Arial" w:cs="Arial"/>
                <w:sz w:val="18"/>
                <w:szCs w:val="18"/>
                <w:lang w:eastAsia="es-ES"/>
              </w:rPr>
            </w:pPr>
          </w:p>
        </w:tc>
      </w:tr>
      <w:tr w:rsidR="00672FF2" w:rsidRPr="0028677A" w:rsidTr="002D5BDD">
        <w:trPr>
          <w:trHeight w:val="850"/>
        </w:trPr>
        <w:tc>
          <w:tcPr>
            <w:tcW w:w="2358" w:type="pct"/>
            <w:shd w:val="clear" w:color="auto" w:fill="auto"/>
          </w:tcPr>
          <w:p w:rsidR="00672FF2" w:rsidRPr="0028677A" w:rsidRDefault="00672FF2" w:rsidP="00672FF2">
            <w:pPr>
              <w:spacing w:after="0" w:line="240" w:lineRule="auto"/>
              <w:jc w:val="both"/>
              <w:rPr>
                <w:rFonts w:ascii="Arial" w:eastAsia="Times New Roman" w:hAnsi="Arial" w:cs="Arial"/>
                <w:b/>
                <w:sz w:val="18"/>
                <w:szCs w:val="18"/>
                <w:lang w:eastAsia="es-ES"/>
              </w:rPr>
            </w:pPr>
            <w:r w:rsidRPr="0028677A">
              <w:rPr>
                <w:rFonts w:ascii="Arial" w:eastAsia="Times New Roman" w:hAnsi="Arial" w:cs="Arial"/>
                <w:b/>
                <w:sz w:val="18"/>
                <w:szCs w:val="18"/>
                <w:lang w:eastAsia="es-ES"/>
              </w:rPr>
              <w:t>Observaciones:</w:t>
            </w:r>
          </w:p>
        </w:tc>
        <w:tc>
          <w:tcPr>
            <w:tcW w:w="2642" w:type="pct"/>
            <w:shd w:val="clear" w:color="auto" w:fill="auto"/>
          </w:tcPr>
          <w:p w:rsidR="00672FF2" w:rsidRPr="0028677A" w:rsidRDefault="00672FF2" w:rsidP="00672FF2">
            <w:pPr>
              <w:spacing w:after="0" w:line="240" w:lineRule="auto"/>
              <w:jc w:val="both"/>
              <w:rPr>
                <w:rFonts w:ascii="Arial" w:eastAsia="Times New Roman" w:hAnsi="Arial" w:cs="Arial"/>
                <w:sz w:val="18"/>
                <w:szCs w:val="18"/>
                <w:lang w:eastAsia="es-ES"/>
              </w:rPr>
            </w:pPr>
            <w:r w:rsidRPr="0028677A">
              <w:rPr>
                <w:rFonts w:ascii="Arial" w:eastAsia="Times New Roman" w:hAnsi="Arial" w:cs="Arial"/>
                <w:sz w:val="18"/>
                <w:szCs w:val="18"/>
                <w:lang w:eastAsia="es-ES"/>
              </w:rPr>
              <w:t>- El proyecto no puede iniciar hasta que se resuelva la diferencia entre el BANHVI y el INVU, por el valor de los terrenos.</w:t>
            </w:r>
          </w:p>
          <w:p w:rsidR="00672FF2" w:rsidRPr="0028677A" w:rsidRDefault="00672FF2" w:rsidP="00672FF2">
            <w:pPr>
              <w:spacing w:after="0" w:line="240" w:lineRule="auto"/>
              <w:jc w:val="both"/>
              <w:rPr>
                <w:rFonts w:ascii="Arial" w:eastAsia="Times New Roman" w:hAnsi="Arial" w:cs="Arial"/>
                <w:sz w:val="18"/>
                <w:szCs w:val="18"/>
                <w:lang w:eastAsia="es-ES"/>
              </w:rPr>
            </w:pPr>
            <w:r w:rsidRPr="0028677A">
              <w:rPr>
                <w:rFonts w:ascii="Arial" w:eastAsia="Times New Roman" w:hAnsi="Arial" w:cs="Arial"/>
                <w:sz w:val="18"/>
                <w:szCs w:val="18"/>
                <w:lang w:eastAsia="es-ES"/>
              </w:rPr>
              <w:t>- El proyecto Hojancha se ubica en Guanacaste y la cantidad de soluciones de vivienda es de 78.</w:t>
            </w:r>
          </w:p>
        </w:tc>
      </w:tr>
    </w:tbl>
    <w:p w:rsidR="00672FF2" w:rsidRPr="00672FF2" w:rsidRDefault="00672FF2" w:rsidP="00672FF2">
      <w:pPr>
        <w:spacing w:after="0" w:line="240" w:lineRule="auto"/>
        <w:jc w:val="both"/>
        <w:rPr>
          <w:rFonts w:ascii="Arial" w:eastAsia="Times New Roman" w:hAnsi="Arial" w:cs="Arial"/>
          <w:sz w:val="18"/>
          <w:szCs w:val="18"/>
          <w:lang w:eastAsia="es-ES"/>
        </w:rPr>
      </w:pPr>
      <w:r w:rsidRPr="00672FF2">
        <w:rPr>
          <w:rFonts w:ascii="Arial" w:eastAsia="Times New Roman" w:hAnsi="Arial" w:cs="Arial"/>
          <w:sz w:val="18"/>
          <w:szCs w:val="18"/>
          <w:lang w:eastAsia="es-ES"/>
        </w:rPr>
        <w:t>Nota Fuente: Informe de rendimiento de cuentas de área. (2017)</w:t>
      </w:r>
    </w:p>
    <w:p w:rsidR="003D5A95" w:rsidRDefault="003D5A95" w:rsidP="00672FF2">
      <w:pPr>
        <w:rPr>
          <w:rFonts w:ascii="Arial" w:eastAsia="Times New Roman" w:hAnsi="Arial" w:cs="Arial"/>
          <w:b/>
          <w:bCs/>
          <w:color w:val="000000"/>
          <w:sz w:val="20"/>
          <w:szCs w:val="20"/>
          <w:lang w:eastAsia="es-CR"/>
        </w:rPr>
      </w:pPr>
    </w:p>
    <w:p w:rsidR="0028677A" w:rsidRDefault="0028677A" w:rsidP="003D5A95">
      <w:pPr>
        <w:spacing w:after="0" w:line="240" w:lineRule="auto"/>
        <w:jc w:val="both"/>
        <w:rPr>
          <w:rFonts w:ascii="Arial" w:eastAsia="Times New Roman" w:hAnsi="Arial" w:cs="Arial"/>
          <w:b/>
          <w:sz w:val="20"/>
          <w:szCs w:val="20"/>
          <w:lang w:eastAsia="es-ES"/>
        </w:rPr>
      </w:pPr>
    </w:p>
    <w:p w:rsidR="00672FF2" w:rsidRPr="003D5A95" w:rsidRDefault="00672FF2" w:rsidP="003D5A95">
      <w:pPr>
        <w:spacing w:after="0" w:line="240" w:lineRule="auto"/>
        <w:jc w:val="both"/>
        <w:rPr>
          <w:rFonts w:ascii="Arial" w:eastAsia="Times New Roman" w:hAnsi="Arial" w:cs="Arial"/>
          <w:b/>
          <w:sz w:val="20"/>
          <w:szCs w:val="20"/>
          <w:lang w:eastAsia="es-ES"/>
        </w:rPr>
      </w:pPr>
      <w:r w:rsidRPr="003D5A95">
        <w:rPr>
          <w:rFonts w:ascii="Arial" w:eastAsia="Times New Roman" w:hAnsi="Arial" w:cs="Arial"/>
          <w:b/>
          <w:sz w:val="20"/>
          <w:szCs w:val="20"/>
          <w:lang w:eastAsia="es-ES"/>
        </w:rPr>
        <w:t>PROYECTO BRI-BRI</w:t>
      </w:r>
    </w:p>
    <w:p w:rsidR="00672FF2" w:rsidRPr="003D5A95" w:rsidRDefault="00672FF2" w:rsidP="003D5A95">
      <w:pPr>
        <w:spacing w:after="0" w:line="240" w:lineRule="auto"/>
        <w:jc w:val="both"/>
        <w:rPr>
          <w:rFonts w:ascii="Arial" w:eastAsia="Times New Roman" w:hAnsi="Arial" w:cs="Arial"/>
          <w:b/>
          <w:sz w:val="20"/>
          <w:szCs w:val="20"/>
          <w:lang w:eastAsia="es-ES"/>
        </w:rPr>
      </w:pPr>
    </w:p>
    <w:p w:rsidR="00672FF2" w:rsidRPr="003D5A95" w:rsidRDefault="00672FF2" w:rsidP="003D5A95">
      <w:pPr>
        <w:spacing w:after="0" w:line="240" w:lineRule="auto"/>
        <w:jc w:val="both"/>
        <w:rPr>
          <w:rFonts w:ascii="Arial" w:eastAsia="Times New Roman" w:hAnsi="Arial" w:cs="Arial"/>
          <w:b/>
          <w:sz w:val="20"/>
          <w:szCs w:val="20"/>
          <w:lang w:eastAsia="es-ES"/>
        </w:rPr>
      </w:pPr>
      <w:r w:rsidRPr="003D5A95">
        <w:rPr>
          <w:rFonts w:ascii="Arial" w:eastAsia="Times New Roman" w:hAnsi="Arial" w:cs="Arial"/>
          <w:b/>
          <w:sz w:val="20"/>
          <w:szCs w:val="20"/>
          <w:lang w:eastAsia="es-ES"/>
        </w:rPr>
        <w:t xml:space="preserve">Indicador N°23 Porcentaje de avance en la etapa de preinversión </w:t>
      </w:r>
    </w:p>
    <w:p w:rsidR="00672FF2" w:rsidRPr="003D5A95" w:rsidRDefault="00672FF2" w:rsidP="003D5A95">
      <w:pPr>
        <w:spacing w:after="0" w:line="240" w:lineRule="auto"/>
        <w:jc w:val="both"/>
        <w:rPr>
          <w:rFonts w:ascii="Arial" w:eastAsia="Times New Roman" w:hAnsi="Arial" w:cs="Arial"/>
          <w:b/>
          <w:sz w:val="20"/>
          <w:szCs w:val="20"/>
          <w:lang w:eastAsia="es-ES"/>
        </w:rPr>
      </w:pPr>
    </w:p>
    <w:p w:rsidR="00672FF2" w:rsidRPr="003D5A95" w:rsidRDefault="00672FF2" w:rsidP="003D5A95">
      <w:pPr>
        <w:spacing w:after="0" w:line="240" w:lineRule="auto"/>
        <w:jc w:val="both"/>
        <w:rPr>
          <w:rFonts w:ascii="Arial" w:eastAsia="Times New Roman" w:hAnsi="Arial" w:cs="Arial"/>
          <w:sz w:val="20"/>
          <w:szCs w:val="20"/>
          <w:lang w:eastAsia="es-ES"/>
        </w:rPr>
      </w:pPr>
      <w:r w:rsidRPr="003D5A95">
        <w:rPr>
          <w:rFonts w:ascii="Arial" w:eastAsia="Times New Roman" w:hAnsi="Arial" w:cs="Arial"/>
          <w:sz w:val="20"/>
          <w:szCs w:val="20"/>
          <w:lang w:eastAsia="es-ES"/>
        </w:rPr>
        <w:t>A diciembre la etapa de preinversión no muestra avance porque se está a la espera de que la Asociación de Vivienda defina que va a hacer con la empresa constructora, ya que dicha empresa, no ha entregado la topografía actualizada del proyecto, para gestionar la conexión al alcantarillado sanitario, insumo necesario para continuar avanzando con el proyecto.</w:t>
      </w:r>
    </w:p>
    <w:p w:rsidR="00672FF2" w:rsidRPr="003D5A95" w:rsidRDefault="00672FF2" w:rsidP="003D5A95">
      <w:pPr>
        <w:spacing w:after="0" w:line="240" w:lineRule="auto"/>
        <w:jc w:val="both"/>
        <w:rPr>
          <w:rFonts w:ascii="Arial" w:eastAsia="Times New Roman" w:hAnsi="Arial" w:cs="Arial"/>
          <w:sz w:val="20"/>
          <w:szCs w:val="20"/>
          <w:lang w:eastAsia="es-ES"/>
        </w:rPr>
      </w:pPr>
      <w:r w:rsidRPr="003D5A95">
        <w:rPr>
          <w:rFonts w:ascii="Arial" w:eastAsia="Times New Roman" w:hAnsi="Arial" w:cs="Arial"/>
          <w:sz w:val="20"/>
          <w:szCs w:val="20"/>
          <w:lang w:eastAsia="es-ES"/>
        </w:rPr>
        <w:tab/>
      </w:r>
    </w:p>
    <w:p w:rsidR="00672FF2" w:rsidRPr="003D5A95" w:rsidRDefault="00672FF2" w:rsidP="003D5A95">
      <w:pPr>
        <w:spacing w:after="0" w:line="240" w:lineRule="auto"/>
        <w:jc w:val="both"/>
        <w:rPr>
          <w:rFonts w:ascii="Arial" w:eastAsia="Times New Roman" w:hAnsi="Arial" w:cs="Arial"/>
          <w:sz w:val="20"/>
          <w:szCs w:val="20"/>
          <w:lang w:eastAsia="es-ES"/>
        </w:rPr>
      </w:pPr>
      <w:r w:rsidRPr="003D5A95">
        <w:rPr>
          <w:rFonts w:ascii="Arial" w:eastAsia="Times New Roman" w:hAnsi="Arial" w:cs="Arial"/>
          <w:sz w:val="20"/>
          <w:szCs w:val="20"/>
          <w:lang w:eastAsia="es-ES"/>
        </w:rPr>
        <w:t>La empresa constructora fue contratada por la asociación de vivienda para elaborar los estudios preliminares y planos del proyecto de la etapa de preinversión.</w:t>
      </w:r>
    </w:p>
    <w:p w:rsidR="00672FF2" w:rsidRPr="003D5A95" w:rsidRDefault="00672FF2" w:rsidP="003D5A95">
      <w:pPr>
        <w:spacing w:after="0" w:line="240" w:lineRule="auto"/>
        <w:jc w:val="both"/>
        <w:rPr>
          <w:rFonts w:ascii="Arial" w:eastAsia="Times New Roman" w:hAnsi="Arial" w:cs="Arial"/>
          <w:sz w:val="20"/>
          <w:szCs w:val="20"/>
          <w:lang w:eastAsia="es-ES"/>
        </w:rPr>
      </w:pPr>
    </w:p>
    <w:p w:rsidR="00672FF2" w:rsidRPr="003D5A95" w:rsidRDefault="00672FF2" w:rsidP="003D5A95">
      <w:pPr>
        <w:spacing w:after="0" w:line="240" w:lineRule="auto"/>
        <w:jc w:val="both"/>
        <w:rPr>
          <w:rFonts w:ascii="Arial" w:eastAsia="Times New Roman" w:hAnsi="Arial" w:cs="Arial"/>
          <w:sz w:val="20"/>
          <w:szCs w:val="20"/>
          <w:lang w:eastAsia="es-ES"/>
        </w:rPr>
      </w:pPr>
      <w:r w:rsidRPr="003D5A95">
        <w:rPr>
          <w:rFonts w:ascii="Arial" w:eastAsia="Times New Roman" w:hAnsi="Arial" w:cs="Arial"/>
          <w:sz w:val="20"/>
          <w:szCs w:val="20"/>
          <w:lang w:eastAsia="es-ES"/>
        </w:rPr>
        <w:t>Entre las limitaciones, se puede mencionar que la asociación de vivienda no ha rescindido el contrato con la empresa constructora y a la vez ésta última, no responde (oficio, correos electrónicos y llamadas telefónicas) a la asociación ni al INVU.</w:t>
      </w:r>
    </w:p>
    <w:p w:rsidR="00672FF2" w:rsidRPr="003D5A95" w:rsidRDefault="00672FF2" w:rsidP="003D5A95">
      <w:pPr>
        <w:spacing w:after="0" w:line="240" w:lineRule="auto"/>
        <w:jc w:val="both"/>
        <w:rPr>
          <w:rFonts w:ascii="Arial" w:eastAsia="Times New Roman" w:hAnsi="Arial" w:cs="Arial"/>
          <w:sz w:val="20"/>
          <w:szCs w:val="20"/>
          <w:lang w:eastAsia="es-ES"/>
        </w:rPr>
      </w:pPr>
    </w:p>
    <w:p w:rsidR="00672FF2" w:rsidRPr="003D5A95" w:rsidRDefault="00672FF2" w:rsidP="003D5A95">
      <w:pPr>
        <w:spacing w:after="0" w:line="240" w:lineRule="auto"/>
        <w:jc w:val="both"/>
        <w:rPr>
          <w:rFonts w:ascii="Arial" w:eastAsia="Times New Roman" w:hAnsi="Arial" w:cs="Arial"/>
          <w:sz w:val="20"/>
          <w:szCs w:val="20"/>
          <w:lang w:eastAsia="es-ES"/>
        </w:rPr>
      </w:pPr>
      <w:r w:rsidRPr="003D5A95">
        <w:rPr>
          <w:rFonts w:ascii="Arial" w:eastAsia="Times New Roman" w:hAnsi="Arial" w:cs="Arial"/>
          <w:sz w:val="20"/>
          <w:szCs w:val="20"/>
          <w:lang w:eastAsia="es-ES"/>
        </w:rPr>
        <w:t>En caso de que la asociación de vivienda rescinda el contrato con la empresa Constructora, el INVU realizará un proceso de contratación para los servicios de diseño y construcción, para avanzar con esa etapa del proyecto.</w:t>
      </w:r>
    </w:p>
    <w:p w:rsidR="00672FF2" w:rsidRPr="00672FF2" w:rsidRDefault="00672FF2" w:rsidP="00672FF2">
      <w:pPr>
        <w:rPr>
          <w:rFonts w:ascii="Arial" w:eastAsia="Times New Roman" w:hAnsi="Arial" w:cs="Arial"/>
          <w:b/>
          <w:bCs/>
          <w:color w:val="000000"/>
          <w:sz w:val="20"/>
          <w:szCs w:val="20"/>
          <w:lang w:eastAsia="es-CR"/>
        </w:rPr>
      </w:pPr>
    </w:p>
    <w:p w:rsidR="00672FF2" w:rsidRPr="00672FF2" w:rsidRDefault="00672FF2" w:rsidP="00672FF2">
      <w:pPr>
        <w:rPr>
          <w:rFonts w:ascii="Arial" w:eastAsia="Times New Roman" w:hAnsi="Arial" w:cs="Arial"/>
          <w:b/>
          <w:bCs/>
          <w:color w:val="000000"/>
          <w:sz w:val="20"/>
          <w:szCs w:val="20"/>
          <w:lang w:eastAsia="es-CR"/>
        </w:rPr>
      </w:pPr>
    </w:p>
    <w:p w:rsidR="00672FF2" w:rsidRPr="00672FF2" w:rsidRDefault="00672FF2" w:rsidP="00672FF2">
      <w:pPr>
        <w:rPr>
          <w:rFonts w:ascii="Arial" w:eastAsia="Times New Roman" w:hAnsi="Arial" w:cs="Arial"/>
          <w:b/>
          <w:bCs/>
          <w:color w:val="000000"/>
          <w:sz w:val="20"/>
          <w:szCs w:val="20"/>
          <w:lang w:eastAsia="es-CR"/>
        </w:rPr>
      </w:pPr>
    </w:p>
    <w:p w:rsidR="00672FF2" w:rsidRPr="00672FF2" w:rsidRDefault="00672FF2" w:rsidP="00672FF2">
      <w:pPr>
        <w:rPr>
          <w:rFonts w:ascii="Arial" w:eastAsia="Times New Roman" w:hAnsi="Arial" w:cs="Arial"/>
          <w:b/>
          <w:bCs/>
          <w:color w:val="000000"/>
          <w:sz w:val="20"/>
          <w:szCs w:val="20"/>
          <w:lang w:eastAsia="es-CR"/>
        </w:rPr>
      </w:pPr>
    </w:p>
    <w:p w:rsidR="00672FF2" w:rsidRPr="00672FF2" w:rsidRDefault="00672FF2" w:rsidP="00672FF2">
      <w:pPr>
        <w:rPr>
          <w:rFonts w:ascii="Arial" w:eastAsia="Times New Roman" w:hAnsi="Arial" w:cs="Arial"/>
          <w:b/>
          <w:bCs/>
          <w:color w:val="000000"/>
          <w:sz w:val="20"/>
          <w:szCs w:val="20"/>
          <w:lang w:eastAsia="es-CR"/>
        </w:rPr>
      </w:pPr>
      <w:r w:rsidRPr="00672FF2">
        <w:rPr>
          <w:rFonts w:ascii="Arial" w:eastAsia="Times New Roman" w:hAnsi="Arial" w:cs="Arial"/>
          <w:b/>
          <w:bCs/>
          <w:color w:val="000000"/>
          <w:sz w:val="20"/>
          <w:szCs w:val="20"/>
          <w:lang w:eastAsia="es-CR"/>
        </w:rPr>
        <w:t xml:space="preserve">      </w:t>
      </w:r>
    </w:p>
    <w:p w:rsidR="00291AFB" w:rsidRDefault="00291AFB" w:rsidP="00291AFB">
      <w:pPr>
        <w:rPr>
          <w:rFonts w:ascii="Arial" w:eastAsia="Times New Roman" w:hAnsi="Arial" w:cs="Arial"/>
          <w:b/>
          <w:bCs/>
          <w:color w:val="000000"/>
          <w:sz w:val="20"/>
          <w:szCs w:val="20"/>
          <w:lang w:eastAsia="es-CR"/>
        </w:rPr>
      </w:pPr>
    </w:p>
    <w:p w:rsidR="00291AFB" w:rsidRDefault="00291AFB" w:rsidP="00291AFB">
      <w:pPr>
        <w:rPr>
          <w:rFonts w:ascii="Arial" w:eastAsia="Times New Roman" w:hAnsi="Arial" w:cs="Arial"/>
          <w:b/>
          <w:bCs/>
          <w:color w:val="000000"/>
          <w:sz w:val="20"/>
          <w:szCs w:val="20"/>
          <w:lang w:eastAsia="es-CR"/>
        </w:rPr>
      </w:pPr>
    </w:p>
    <w:p w:rsidR="00291AFB" w:rsidRDefault="00291AFB" w:rsidP="00291AFB">
      <w:pPr>
        <w:rPr>
          <w:rFonts w:ascii="Arial" w:eastAsia="Times New Roman" w:hAnsi="Arial" w:cs="Arial"/>
          <w:b/>
          <w:bCs/>
          <w:color w:val="000000"/>
          <w:sz w:val="20"/>
          <w:szCs w:val="20"/>
          <w:lang w:eastAsia="es-CR"/>
        </w:rPr>
      </w:pPr>
    </w:p>
    <w:p w:rsidR="00291AFB" w:rsidRDefault="00291AFB" w:rsidP="00291AFB">
      <w:pPr>
        <w:rPr>
          <w:rFonts w:ascii="Arial" w:eastAsia="Times New Roman" w:hAnsi="Arial" w:cs="Arial"/>
          <w:b/>
          <w:bCs/>
          <w:color w:val="000000"/>
          <w:sz w:val="20"/>
          <w:szCs w:val="20"/>
          <w:lang w:eastAsia="es-CR"/>
        </w:rPr>
      </w:pPr>
    </w:p>
    <w:p w:rsidR="00291AFB" w:rsidRDefault="00291AFB" w:rsidP="00291AFB">
      <w:pPr>
        <w:rPr>
          <w:rFonts w:ascii="Arial" w:eastAsia="Times New Roman" w:hAnsi="Arial" w:cs="Arial"/>
          <w:b/>
          <w:bCs/>
          <w:color w:val="000000"/>
          <w:sz w:val="20"/>
          <w:szCs w:val="20"/>
          <w:lang w:eastAsia="es-CR"/>
        </w:rPr>
      </w:pPr>
    </w:p>
    <w:p w:rsidR="00291AFB" w:rsidRDefault="00291AFB" w:rsidP="00291AFB">
      <w:pPr>
        <w:rPr>
          <w:rFonts w:ascii="Arial" w:eastAsia="Times New Roman" w:hAnsi="Arial" w:cs="Arial"/>
          <w:b/>
          <w:bCs/>
          <w:color w:val="000000"/>
          <w:sz w:val="20"/>
          <w:szCs w:val="20"/>
          <w:lang w:eastAsia="es-CR"/>
        </w:rPr>
      </w:pPr>
    </w:p>
    <w:p w:rsidR="00291AFB" w:rsidRDefault="00291AFB" w:rsidP="00291AFB">
      <w:pPr>
        <w:rPr>
          <w:rFonts w:ascii="Arial" w:eastAsia="Times New Roman" w:hAnsi="Arial" w:cs="Arial"/>
          <w:b/>
          <w:bCs/>
          <w:color w:val="000000"/>
          <w:sz w:val="20"/>
          <w:szCs w:val="20"/>
          <w:lang w:eastAsia="es-CR"/>
        </w:rPr>
      </w:pPr>
    </w:p>
    <w:p w:rsidR="00291AFB" w:rsidRDefault="00291AFB" w:rsidP="00291AFB">
      <w:pPr>
        <w:rPr>
          <w:rFonts w:ascii="Arial" w:eastAsia="Times New Roman" w:hAnsi="Arial" w:cs="Arial"/>
          <w:b/>
          <w:bCs/>
          <w:color w:val="000000"/>
          <w:sz w:val="20"/>
          <w:szCs w:val="20"/>
          <w:lang w:eastAsia="es-CR"/>
        </w:rPr>
      </w:pPr>
    </w:p>
    <w:p w:rsidR="00291AFB" w:rsidRDefault="00291AFB" w:rsidP="00291AFB">
      <w:pPr>
        <w:rPr>
          <w:rFonts w:ascii="Arial" w:eastAsia="Times New Roman" w:hAnsi="Arial" w:cs="Arial"/>
          <w:b/>
          <w:bCs/>
          <w:color w:val="000000"/>
          <w:sz w:val="20"/>
          <w:szCs w:val="20"/>
          <w:lang w:eastAsia="es-CR"/>
        </w:rPr>
      </w:pPr>
    </w:p>
    <w:p w:rsidR="00291AFB" w:rsidRDefault="00291AFB" w:rsidP="00291AFB">
      <w:pPr>
        <w:rPr>
          <w:rFonts w:ascii="Arial" w:eastAsia="Times New Roman" w:hAnsi="Arial" w:cs="Arial"/>
          <w:b/>
          <w:bCs/>
          <w:color w:val="000000"/>
          <w:sz w:val="20"/>
          <w:szCs w:val="20"/>
          <w:lang w:eastAsia="es-CR"/>
        </w:rPr>
      </w:pPr>
    </w:p>
    <w:p w:rsidR="00291AFB" w:rsidRDefault="00291AFB" w:rsidP="00291AFB">
      <w:pPr>
        <w:rPr>
          <w:rFonts w:ascii="Arial" w:eastAsia="Times New Roman" w:hAnsi="Arial" w:cs="Arial"/>
          <w:b/>
          <w:bCs/>
          <w:color w:val="000000"/>
          <w:sz w:val="20"/>
          <w:szCs w:val="20"/>
          <w:lang w:eastAsia="es-CR"/>
        </w:rPr>
      </w:pPr>
    </w:p>
    <w:p w:rsidR="00672FF2" w:rsidRPr="00672FF2" w:rsidRDefault="00672FF2" w:rsidP="00291AFB">
      <w:pPr>
        <w:rPr>
          <w:rFonts w:ascii="Arial" w:eastAsia="Times New Roman" w:hAnsi="Arial" w:cs="Arial"/>
          <w:b/>
          <w:bCs/>
          <w:color w:val="000000"/>
          <w:sz w:val="20"/>
          <w:szCs w:val="20"/>
          <w:lang w:eastAsia="es-CR"/>
        </w:rPr>
      </w:pPr>
      <w:r w:rsidRPr="00672FF2">
        <w:rPr>
          <w:rFonts w:ascii="Arial" w:eastAsia="Times New Roman" w:hAnsi="Arial" w:cs="Arial"/>
          <w:b/>
          <w:bCs/>
          <w:color w:val="000000"/>
          <w:sz w:val="20"/>
          <w:szCs w:val="20"/>
          <w:lang w:eastAsia="es-CR"/>
        </w:rPr>
        <w:lastRenderedPageBreak/>
        <w:t>PROYECTO JUAN RAFAEL MORA</w:t>
      </w:r>
    </w:p>
    <w:p w:rsidR="00672FF2" w:rsidRPr="00672FF2" w:rsidRDefault="00672FF2" w:rsidP="00291AFB">
      <w:pPr>
        <w:spacing w:after="0" w:line="240" w:lineRule="auto"/>
        <w:jc w:val="both"/>
        <w:rPr>
          <w:rFonts w:ascii="Arial" w:eastAsia="Times New Roman" w:hAnsi="Arial" w:cs="Arial"/>
          <w:b/>
          <w:bCs/>
          <w:color w:val="000000"/>
          <w:sz w:val="20"/>
          <w:szCs w:val="20"/>
          <w:lang w:eastAsia="es-CR"/>
        </w:rPr>
      </w:pPr>
      <w:r w:rsidRPr="00672FF2">
        <w:rPr>
          <w:rFonts w:ascii="Arial" w:eastAsia="Times New Roman" w:hAnsi="Arial" w:cs="Arial"/>
          <w:b/>
          <w:bCs/>
          <w:color w:val="000000"/>
          <w:sz w:val="20"/>
          <w:szCs w:val="20"/>
          <w:lang w:eastAsia="es-CR"/>
        </w:rPr>
        <w:t>Indicador N°24 Número de familias que reciben el bono para reparaciones ampliaciones  mejoras y terminación (RAMT)</w:t>
      </w:r>
    </w:p>
    <w:p w:rsidR="00672FF2" w:rsidRPr="00672FF2" w:rsidRDefault="00672FF2" w:rsidP="00291AFB">
      <w:pPr>
        <w:spacing w:after="0" w:line="240" w:lineRule="auto"/>
        <w:jc w:val="both"/>
        <w:rPr>
          <w:rFonts w:ascii="Arial" w:eastAsia="Times New Roman" w:hAnsi="Arial" w:cs="Arial"/>
          <w:b/>
          <w:bCs/>
          <w:color w:val="000000"/>
          <w:sz w:val="20"/>
          <w:szCs w:val="20"/>
          <w:lang w:eastAsia="es-CR"/>
        </w:rPr>
      </w:pPr>
    </w:p>
    <w:p w:rsidR="00672FF2" w:rsidRPr="00291AFB" w:rsidRDefault="00672FF2" w:rsidP="00291AFB">
      <w:pPr>
        <w:spacing w:after="0" w:line="240" w:lineRule="auto"/>
        <w:jc w:val="both"/>
        <w:rPr>
          <w:rFonts w:ascii="Arial" w:eastAsia="Times New Roman" w:hAnsi="Arial" w:cs="Arial"/>
          <w:bCs/>
          <w:color w:val="000000"/>
          <w:sz w:val="20"/>
          <w:szCs w:val="20"/>
          <w:lang w:eastAsia="es-CR"/>
        </w:rPr>
      </w:pPr>
      <w:r w:rsidRPr="00291AFB">
        <w:rPr>
          <w:rFonts w:ascii="Arial" w:eastAsia="Times New Roman" w:hAnsi="Arial" w:cs="Arial"/>
          <w:bCs/>
          <w:color w:val="000000"/>
          <w:sz w:val="20"/>
          <w:szCs w:val="20"/>
          <w:lang w:eastAsia="es-CR"/>
        </w:rPr>
        <w:t>A diciembre el proyecto Juan Rafael Mora no muestra avance en la etapa de ejecución, porque se encuentran en proceso varias actividades previas a la ejecución, como se muestra en el detalle de la tabla siguiente.</w:t>
      </w:r>
    </w:p>
    <w:tbl>
      <w:tblPr>
        <w:tblW w:w="9103" w:type="dxa"/>
        <w:tblBorders>
          <w:insideH w:val="single" w:sz="6" w:space="0" w:color="000000"/>
          <w:insideV w:val="single" w:sz="6" w:space="0" w:color="000000"/>
        </w:tblBorders>
        <w:shd w:val="clear" w:color="auto" w:fill="FFFFFF"/>
        <w:tblLook w:val="04A0" w:firstRow="1" w:lastRow="0" w:firstColumn="1" w:lastColumn="0" w:noHBand="0" w:noVBand="1"/>
      </w:tblPr>
      <w:tblGrid>
        <w:gridCol w:w="4293"/>
        <w:gridCol w:w="4810"/>
      </w:tblGrid>
      <w:tr w:rsidR="00672FF2" w:rsidRPr="0028677A" w:rsidTr="002D5BDD">
        <w:trPr>
          <w:trHeight w:val="270"/>
        </w:trPr>
        <w:tc>
          <w:tcPr>
            <w:tcW w:w="5000" w:type="pct"/>
            <w:gridSpan w:val="2"/>
            <w:shd w:val="clear" w:color="auto" w:fill="FFFFFF"/>
            <w:noWrap/>
            <w:hideMark/>
          </w:tcPr>
          <w:p w:rsidR="00672FF2" w:rsidRPr="0028677A" w:rsidRDefault="00672FF2" w:rsidP="00291AFB">
            <w:pPr>
              <w:spacing w:after="0" w:line="240" w:lineRule="auto"/>
              <w:jc w:val="both"/>
              <w:rPr>
                <w:rFonts w:ascii="Arial" w:eastAsia="Times New Roman" w:hAnsi="Arial" w:cs="Arial"/>
                <w:b/>
                <w:bCs/>
                <w:color w:val="000000"/>
                <w:sz w:val="18"/>
                <w:szCs w:val="18"/>
                <w:lang w:eastAsia="es-CR"/>
              </w:rPr>
            </w:pPr>
            <w:r w:rsidRPr="0028677A">
              <w:rPr>
                <w:rFonts w:ascii="Arial" w:eastAsia="Times New Roman" w:hAnsi="Arial" w:cs="Arial"/>
                <w:b/>
                <w:bCs/>
                <w:color w:val="000000"/>
                <w:sz w:val="18"/>
                <w:szCs w:val="18"/>
                <w:lang w:eastAsia="es-CR"/>
              </w:rPr>
              <w:t xml:space="preserve"> </w:t>
            </w:r>
          </w:p>
          <w:p w:rsidR="00672FF2" w:rsidRPr="0028677A" w:rsidRDefault="00672FF2" w:rsidP="00291AFB">
            <w:pPr>
              <w:spacing w:after="0" w:line="240" w:lineRule="auto"/>
              <w:jc w:val="center"/>
              <w:rPr>
                <w:rFonts w:ascii="Arial" w:eastAsia="Times New Roman" w:hAnsi="Arial" w:cs="Arial"/>
                <w:b/>
                <w:bCs/>
                <w:color w:val="000000"/>
                <w:sz w:val="18"/>
                <w:szCs w:val="18"/>
                <w:lang w:eastAsia="es-CR"/>
              </w:rPr>
            </w:pPr>
            <w:r w:rsidRPr="0028677A">
              <w:rPr>
                <w:rFonts w:ascii="Arial" w:eastAsia="Times New Roman" w:hAnsi="Arial" w:cs="Arial"/>
                <w:b/>
                <w:bCs/>
                <w:color w:val="000000"/>
                <w:sz w:val="18"/>
                <w:szCs w:val="18"/>
                <w:lang w:eastAsia="es-CR"/>
              </w:rPr>
              <w:t>Tabla 22 Acciones Realizadas</w:t>
            </w:r>
          </w:p>
        </w:tc>
      </w:tr>
      <w:tr w:rsidR="00672FF2" w:rsidRPr="0028677A" w:rsidTr="002D5BDD">
        <w:trPr>
          <w:trHeight w:val="825"/>
        </w:trPr>
        <w:tc>
          <w:tcPr>
            <w:tcW w:w="2358" w:type="pct"/>
            <w:shd w:val="clear" w:color="auto" w:fill="FFFFFF"/>
            <w:hideMark/>
          </w:tcPr>
          <w:p w:rsidR="00672FF2" w:rsidRPr="0028677A" w:rsidRDefault="00672FF2" w:rsidP="00291AFB">
            <w:pPr>
              <w:spacing w:after="0" w:line="240" w:lineRule="auto"/>
              <w:jc w:val="both"/>
              <w:rPr>
                <w:rFonts w:ascii="Arial" w:eastAsia="Times New Roman" w:hAnsi="Arial" w:cs="Arial"/>
                <w:b/>
                <w:bCs/>
                <w:color w:val="000000"/>
                <w:sz w:val="18"/>
                <w:szCs w:val="18"/>
                <w:lang w:eastAsia="es-CR"/>
              </w:rPr>
            </w:pPr>
            <w:r w:rsidRPr="0028677A">
              <w:rPr>
                <w:rFonts w:ascii="Arial" w:eastAsia="Times New Roman" w:hAnsi="Arial" w:cs="Arial"/>
                <w:b/>
                <w:bCs/>
                <w:color w:val="000000"/>
                <w:sz w:val="18"/>
                <w:szCs w:val="18"/>
                <w:lang w:eastAsia="es-CR"/>
              </w:rPr>
              <w:t>a) Actividades realizadas:</w:t>
            </w:r>
          </w:p>
        </w:tc>
        <w:tc>
          <w:tcPr>
            <w:tcW w:w="2642" w:type="pct"/>
            <w:shd w:val="clear" w:color="auto" w:fill="FFFFFF"/>
          </w:tcPr>
          <w:p w:rsidR="00672FF2" w:rsidRPr="0028677A" w:rsidRDefault="00672FF2" w:rsidP="00291AFB">
            <w:pPr>
              <w:spacing w:after="0" w:line="240" w:lineRule="auto"/>
              <w:jc w:val="both"/>
              <w:rPr>
                <w:rFonts w:ascii="Arial" w:eastAsia="Times New Roman" w:hAnsi="Arial" w:cs="Arial"/>
                <w:bCs/>
                <w:color w:val="000000"/>
                <w:sz w:val="18"/>
                <w:szCs w:val="18"/>
                <w:lang w:eastAsia="es-CR"/>
              </w:rPr>
            </w:pPr>
            <w:r w:rsidRPr="0028677A">
              <w:rPr>
                <w:rFonts w:ascii="Arial" w:eastAsia="Times New Roman" w:hAnsi="Arial" w:cs="Arial"/>
                <w:bCs/>
                <w:color w:val="000000"/>
                <w:sz w:val="18"/>
                <w:szCs w:val="18"/>
                <w:lang w:eastAsia="es-CR"/>
              </w:rPr>
              <w:t>- Se analizaron y aprobaron 41 expedientes, en la Unidad de Proyectos Habitacionales.</w:t>
            </w:r>
          </w:p>
          <w:p w:rsidR="00672FF2" w:rsidRPr="0028677A" w:rsidRDefault="00672FF2" w:rsidP="00291AFB">
            <w:pPr>
              <w:spacing w:after="0" w:line="240" w:lineRule="auto"/>
              <w:jc w:val="both"/>
              <w:rPr>
                <w:rFonts w:ascii="Arial" w:eastAsia="Times New Roman" w:hAnsi="Arial" w:cs="Arial"/>
                <w:bCs/>
                <w:color w:val="000000"/>
                <w:sz w:val="18"/>
                <w:szCs w:val="18"/>
                <w:lang w:eastAsia="es-CR"/>
              </w:rPr>
            </w:pPr>
            <w:r w:rsidRPr="0028677A">
              <w:rPr>
                <w:rFonts w:ascii="Arial" w:eastAsia="Times New Roman" w:hAnsi="Arial" w:cs="Arial"/>
                <w:bCs/>
                <w:color w:val="000000"/>
                <w:sz w:val="18"/>
                <w:szCs w:val="18"/>
                <w:lang w:eastAsia="es-CR"/>
              </w:rPr>
              <w:t>- Existen cinco casos que cuentan con análisis socioeconómico aprobado y se está a la espera del aporte de documentación técnica por parte de la empresa consultora, para ser presentados al BANHVI.</w:t>
            </w:r>
          </w:p>
          <w:p w:rsidR="00672FF2" w:rsidRPr="0028677A" w:rsidRDefault="00672FF2" w:rsidP="00291AFB">
            <w:pPr>
              <w:spacing w:after="0" w:line="240" w:lineRule="auto"/>
              <w:jc w:val="both"/>
              <w:rPr>
                <w:rFonts w:ascii="Arial" w:eastAsia="Times New Roman" w:hAnsi="Arial" w:cs="Arial"/>
                <w:bCs/>
                <w:color w:val="000000"/>
                <w:sz w:val="18"/>
                <w:szCs w:val="18"/>
                <w:lang w:eastAsia="es-CR"/>
              </w:rPr>
            </w:pPr>
            <w:r w:rsidRPr="0028677A">
              <w:rPr>
                <w:rFonts w:ascii="Arial" w:eastAsia="Times New Roman" w:hAnsi="Arial" w:cs="Arial"/>
                <w:bCs/>
                <w:color w:val="000000"/>
                <w:sz w:val="18"/>
                <w:szCs w:val="18"/>
                <w:lang w:eastAsia="es-CR"/>
              </w:rPr>
              <w:t>-  El BANHVI aprobó inicialmente 16 casos RAMT, los cuales se mandaron de nuevo al BANHVI debido a que ese banco, debe aprobar los desembolsos respectivos.  Se encuentra en proceso de revisión la ampliación de la línea de financiamiento originalmente aprobada para el Proyecto.</w:t>
            </w:r>
          </w:p>
          <w:p w:rsidR="00672FF2" w:rsidRPr="0028677A" w:rsidRDefault="00672FF2" w:rsidP="00291AFB">
            <w:pPr>
              <w:spacing w:after="0" w:line="240" w:lineRule="auto"/>
              <w:jc w:val="both"/>
              <w:rPr>
                <w:rFonts w:ascii="Arial" w:eastAsia="Times New Roman" w:hAnsi="Arial" w:cs="Arial"/>
                <w:bCs/>
                <w:color w:val="000000"/>
                <w:sz w:val="18"/>
                <w:szCs w:val="18"/>
                <w:lang w:eastAsia="es-CR"/>
              </w:rPr>
            </w:pPr>
            <w:r w:rsidRPr="0028677A">
              <w:rPr>
                <w:rFonts w:ascii="Arial" w:eastAsia="Times New Roman" w:hAnsi="Arial" w:cs="Arial"/>
                <w:bCs/>
                <w:color w:val="000000"/>
                <w:sz w:val="18"/>
                <w:szCs w:val="18"/>
                <w:lang w:eastAsia="es-CR"/>
              </w:rPr>
              <w:t>- Se han enviado oficios para que el BAHNVI apruebe financiamiento de casos RAMT</w:t>
            </w:r>
          </w:p>
          <w:p w:rsidR="00672FF2" w:rsidRPr="0028677A" w:rsidRDefault="00672FF2" w:rsidP="00291AFB">
            <w:pPr>
              <w:spacing w:after="0" w:line="240" w:lineRule="auto"/>
              <w:jc w:val="both"/>
              <w:rPr>
                <w:rFonts w:ascii="Arial" w:eastAsia="Times New Roman" w:hAnsi="Arial" w:cs="Arial"/>
                <w:bCs/>
                <w:color w:val="000000"/>
                <w:sz w:val="18"/>
                <w:szCs w:val="18"/>
                <w:lang w:eastAsia="es-CR"/>
              </w:rPr>
            </w:pPr>
            <w:r w:rsidRPr="0028677A">
              <w:rPr>
                <w:rFonts w:ascii="Arial" w:eastAsia="Times New Roman" w:hAnsi="Arial" w:cs="Arial"/>
                <w:bCs/>
                <w:color w:val="000000"/>
                <w:sz w:val="18"/>
                <w:szCs w:val="18"/>
                <w:lang w:eastAsia="es-CR"/>
              </w:rPr>
              <w:t>- Se han revisado 62 casos con condiciones para trámite de bono RAMT, que están en proceso de análisis de trabajo social y de revisión de planos y presupuestos.</w:t>
            </w:r>
          </w:p>
          <w:p w:rsidR="00672FF2" w:rsidRPr="0028677A" w:rsidRDefault="00672FF2" w:rsidP="00291AFB">
            <w:pPr>
              <w:spacing w:after="0" w:line="240" w:lineRule="auto"/>
              <w:jc w:val="both"/>
              <w:rPr>
                <w:rFonts w:ascii="Arial" w:eastAsia="Times New Roman" w:hAnsi="Arial" w:cs="Arial"/>
                <w:bCs/>
                <w:color w:val="000000"/>
                <w:sz w:val="18"/>
                <w:szCs w:val="18"/>
                <w:lang w:eastAsia="es-CR"/>
              </w:rPr>
            </w:pPr>
            <w:r w:rsidRPr="0028677A">
              <w:rPr>
                <w:rFonts w:ascii="Arial" w:eastAsia="Times New Roman" w:hAnsi="Arial" w:cs="Arial"/>
                <w:bCs/>
                <w:color w:val="000000"/>
                <w:sz w:val="18"/>
                <w:szCs w:val="18"/>
                <w:lang w:eastAsia="es-CR"/>
              </w:rPr>
              <w:t>- Se cuenta con 4 expedientes donde el beneficiario aparece con otra propiedad, para lo cual hay que hacer un estudio técnico para justificar su atención y calificación.</w:t>
            </w:r>
          </w:p>
          <w:p w:rsidR="00672FF2" w:rsidRPr="0028677A" w:rsidRDefault="00672FF2" w:rsidP="00291AFB">
            <w:pPr>
              <w:spacing w:after="0" w:line="240" w:lineRule="auto"/>
              <w:jc w:val="both"/>
              <w:rPr>
                <w:rFonts w:ascii="Arial" w:eastAsia="Times New Roman" w:hAnsi="Arial" w:cs="Arial"/>
                <w:bCs/>
                <w:color w:val="000000"/>
                <w:sz w:val="18"/>
                <w:szCs w:val="18"/>
                <w:lang w:eastAsia="es-CR"/>
              </w:rPr>
            </w:pPr>
          </w:p>
        </w:tc>
      </w:tr>
      <w:tr w:rsidR="00672FF2" w:rsidRPr="0028677A" w:rsidTr="002D5BDD">
        <w:trPr>
          <w:trHeight w:val="705"/>
        </w:trPr>
        <w:tc>
          <w:tcPr>
            <w:tcW w:w="2358" w:type="pct"/>
            <w:shd w:val="clear" w:color="auto" w:fill="FFFFFF"/>
            <w:hideMark/>
          </w:tcPr>
          <w:p w:rsidR="00672FF2" w:rsidRPr="0028677A" w:rsidRDefault="00672FF2" w:rsidP="00291AFB">
            <w:pPr>
              <w:spacing w:after="0" w:line="240" w:lineRule="auto"/>
              <w:jc w:val="both"/>
              <w:rPr>
                <w:rFonts w:ascii="Arial" w:eastAsia="Times New Roman" w:hAnsi="Arial" w:cs="Arial"/>
                <w:b/>
                <w:bCs/>
                <w:color w:val="000000"/>
                <w:sz w:val="18"/>
                <w:szCs w:val="18"/>
                <w:lang w:eastAsia="es-CR"/>
              </w:rPr>
            </w:pPr>
            <w:r w:rsidRPr="0028677A">
              <w:rPr>
                <w:rFonts w:ascii="Arial" w:eastAsia="Times New Roman" w:hAnsi="Arial" w:cs="Arial"/>
                <w:b/>
                <w:bCs/>
                <w:color w:val="000000"/>
                <w:sz w:val="18"/>
                <w:szCs w:val="18"/>
                <w:lang w:eastAsia="es-CR"/>
              </w:rPr>
              <w:t xml:space="preserve">b) Limitaciones: </w:t>
            </w:r>
          </w:p>
          <w:p w:rsidR="00672FF2" w:rsidRPr="0028677A" w:rsidRDefault="00672FF2" w:rsidP="00291AFB">
            <w:pPr>
              <w:spacing w:after="0" w:line="240" w:lineRule="auto"/>
              <w:jc w:val="both"/>
              <w:rPr>
                <w:rFonts w:ascii="Arial" w:eastAsia="Times New Roman" w:hAnsi="Arial" w:cs="Arial"/>
                <w:b/>
                <w:bCs/>
                <w:color w:val="000000"/>
                <w:sz w:val="18"/>
                <w:szCs w:val="18"/>
                <w:lang w:eastAsia="es-CR"/>
              </w:rPr>
            </w:pPr>
          </w:p>
          <w:p w:rsidR="00672FF2" w:rsidRPr="0028677A" w:rsidRDefault="00672FF2" w:rsidP="00291AFB">
            <w:pPr>
              <w:spacing w:after="0" w:line="240" w:lineRule="auto"/>
              <w:jc w:val="both"/>
              <w:rPr>
                <w:rFonts w:ascii="Arial" w:eastAsia="Times New Roman" w:hAnsi="Arial" w:cs="Arial"/>
                <w:b/>
                <w:bCs/>
                <w:color w:val="000000"/>
                <w:sz w:val="18"/>
                <w:szCs w:val="18"/>
                <w:lang w:eastAsia="es-CR"/>
              </w:rPr>
            </w:pPr>
          </w:p>
        </w:tc>
        <w:tc>
          <w:tcPr>
            <w:tcW w:w="2642" w:type="pct"/>
            <w:shd w:val="clear" w:color="auto" w:fill="FFFFFF"/>
          </w:tcPr>
          <w:p w:rsidR="00672FF2" w:rsidRPr="0028677A" w:rsidRDefault="00672FF2" w:rsidP="00291AFB">
            <w:pPr>
              <w:spacing w:after="0" w:line="240" w:lineRule="auto"/>
              <w:jc w:val="both"/>
              <w:rPr>
                <w:rFonts w:ascii="Arial" w:eastAsia="Times New Roman" w:hAnsi="Arial" w:cs="Arial"/>
                <w:bCs/>
                <w:color w:val="000000"/>
                <w:sz w:val="18"/>
                <w:szCs w:val="18"/>
                <w:lang w:eastAsia="es-CR"/>
              </w:rPr>
            </w:pPr>
            <w:r w:rsidRPr="0028677A">
              <w:rPr>
                <w:rFonts w:ascii="Arial" w:eastAsia="Times New Roman" w:hAnsi="Arial" w:cs="Arial"/>
                <w:bCs/>
                <w:color w:val="000000"/>
                <w:sz w:val="18"/>
                <w:szCs w:val="18"/>
                <w:lang w:eastAsia="es-CR"/>
              </w:rPr>
              <w:t>- El proceso de avance es lento debido a limitaciones impuestas por las condiciones en que fueron construidas las estructuras habitacionales existentes, sin contar en su momento de construcción con todas las aprobaciones institucionales, lo que retrasa la autorización de nuevas obras, además, se debe contar con la anuencia de algunas familias para desocupar el inmueble o para demoler algunas obras construidas por ellas, a través del tiempo.</w:t>
            </w:r>
          </w:p>
          <w:p w:rsidR="00672FF2" w:rsidRPr="0028677A" w:rsidRDefault="00672FF2" w:rsidP="00291AFB">
            <w:pPr>
              <w:spacing w:after="0" w:line="240" w:lineRule="auto"/>
              <w:jc w:val="both"/>
              <w:rPr>
                <w:rFonts w:ascii="Arial" w:eastAsia="Times New Roman" w:hAnsi="Arial" w:cs="Arial"/>
                <w:bCs/>
                <w:color w:val="000000"/>
                <w:sz w:val="18"/>
                <w:szCs w:val="18"/>
                <w:lang w:eastAsia="es-CR"/>
              </w:rPr>
            </w:pPr>
            <w:r w:rsidRPr="0028677A">
              <w:rPr>
                <w:rFonts w:ascii="Arial" w:eastAsia="Times New Roman" w:hAnsi="Arial" w:cs="Arial"/>
                <w:bCs/>
                <w:color w:val="000000"/>
                <w:sz w:val="18"/>
                <w:szCs w:val="18"/>
                <w:lang w:eastAsia="es-CR"/>
              </w:rPr>
              <w:t>- Se identificaron casos que no cumplen con los requerirnos mínimos, debido al tipo de estructura construida por el potencial beneficiario, con áreas muy grandes donde no aplica el bono RAMT.</w:t>
            </w:r>
          </w:p>
          <w:p w:rsidR="00672FF2" w:rsidRPr="0028677A" w:rsidRDefault="00672FF2" w:rsidP="00291AFB">
            <w:pPr>
              <w:spacing w:after="0" w:line="240" w:lineRule="auto"/>
              <w:jc w:val="both"/>
              <w:rPr>
                <w:rFonts w:ascii="Arial" w:eastAsia="Times New Roman" w:hAnsi="Arial" w:cs="Arial"/>
                <w:bCs/>
                <w:color w:val="000000"/>
                <w:sz w:val="18"/>
                <w:szCs w:val="18"/>
                <w:lang w:eastAsia="es-CR"/>
              </w:rPr>
            </w:pPr>
          </w:p>
        </w:tc>
      </w:tr>
      <w:tr w:rsidR="00672FF2" w:rsidRPr="0028677A" w:rsidTr="002D5BDD">
        <w:trPr>
          <w:trHeight w:val="471"/>
        </w:trPr>
        <w:tc>
          <w:tcPr>
            <w:tcW w:w="2358" w:type="pct"/>
            <w:shd w:val="clear" w:color="auto" w:fill="FFFFFF"/>
            <w:hideMark/>
          </w:tcPr>
          <w:p w:rsidR="00672FF2" w:rsidRPr="0028677A" w:rsidRDefault="00672FF2" w:rsidP="00291AFB">
            <w:pPr>
              <w:spacing w:after="0" w:line="240" w:lineRule="auto"/>
              <w:jc w:val="both"/>
              <w:rPr>
                <w:rFonts w:ascii="Arial" w:eastAsia="Times New Roman" w:hAnsi="Arial" w:cs="Arial"/>
                <w:b/>
                <w:bCs/>
                <w:color w:val="000000"/>
                <w:sz w:val="18"/>
                <w:szCs w:val="18"/>
                <w:lang w:eastAsia="es-CR"/>
              </w:rPr>
            </w:pPr>
            <w:r w:rsidRPr="0028677A">
              <w:rPr>
                <w:rFonts w:ascii="Arial" w:eastAsia="Times New Roman" w:hAnsi="Arial" w:cs="Arial"/>
                <w:b/>
                <w:bCs/>
                <w:color w:val="000000"/>
                <w:sz w:val="18"/>
                <w:szCs w:val="18"/>
                <w:lang w:eastAsia="es-CR"/>
              </w:rPr>
              <w:t>c) Medidas correctivas o acciones de mejora (realizadas y por realizar) para el logro de la meta:</w:t>
            </w:r>
          </w:p>
          <w:p w:rsidR="00672FF2" w:rsidRPr="0028677A" w:rsidRDefault="00672FF2" w:rsidP="00291AFB">
            <w:pPr>
              <w:spacing w:after="0" w:line="240" w:lineRule="auto"/>
              <w:jc w:val="both"/>
              <w:rPr>
                <w:rFonts w:ascii="Arial" w:eastAsia="Times New Roman" w:hAnsi="Arial" w:cs="Arial"/>
                <w:b/>
                <w:bCs/>
                <w:color w:val="000000"/>
                <w:sz w:val="18"/>
                <w:szCs w:val="18"/>
                <w:lang w:eastAsia="es-CR"/>
              </w:rPr>
            </w:pPr>
          </w:p>
        </w:tc>
        <w:tc>
          <w:tcPr>
            <w:tcW w:w="2642" w:type="pct"/>
            <w:shd w:val="clear" w:color="auto" w:fill="FFFFFF"/>
          </w:tcPr>
          <w:p w:rsidR="00672FF2" w:rsidRPr="0028677A" w:rsidRDefault="00672FF2" w:rsidP="00291AFB">
            <w:pPr>
              <w:spacing w:after="0" w:line="240" w:lineRule="auto"/>
              <w:jc w:val="both"/>
              <w:rPr>
                <w:rFonts w:ascii="Arial" w:eastAsia="Times New Roman" w:hAnsi="Arial" w:cs="Arial"/>
                <w:b/>
                <w:bCs/>
                <w:color w:val="000000"/>
                <w:sz w:val="18"/>
                <w:szCs w:val="18"/>
                <w:lang w:eastAsia="es-CR"/>
              </w:rPr>
            </w:pPr>
          </w:p>
        </w:tc>
      </w:tr>
      <w:tr w:rsidR="00672FF2" w:rsidRPr="0028677A" w:rsidTr="002D5BDD">
        <w:trPr>
          <w:trHeight w:val="372"/>
        </w:trPr>
        <w:tc>
          <w:tcPr>
            <w:tcW w:w="2358" w:type="pct"/>
            <w:shd w:val="clear" w:color="auto" w:fill="FFFFFF"/>
          </w:tcPr>
          <w:p w:rsidR="00672FF2" w:rsidRPr="0028677A" w:rsidRDefault="00672FF2" w:rsidP="00291AFB">
            <w:pPr>
              <w:spacing w:after="0" w:line="240" w:lineRule="auto"/>
              <w:jc w:val="both"/>
              <w:rPr>
                <w:rFonts w:ascii="Arial" w:eastAsia="Times New Roman" w:hAnsi="Arial" w:cs="Arial"/>
                <w:b/>
                <w:bCs/>
                <w:color w:val="000000"/>
                <w:sz w:val="18"/>
                <w:szCs w:val="18"/>
                <w:lang w:eastAsia="es-CR"/>
              </w:rPr>
            </w:pPr>
            <w:r w:rsidRPr="0028677A">
              <w:rPr>
                <w:rFonts w:ascii="Arial" w:eastAsia="Times New Roman" w:hAnsi="Arial" w:cs="Arial"/>
                <w:b/>
                <w:bCs/>
                <w:color w:val="000000"/>
                <w:sz w:val="18"/>
                <w:szCs w:val="18"/>
                <w:lang w:eastAsia="es-CR"/>
              </w:rPr>
              <w:t>Observaciones:</w:t>
            </w:r>
          </w:p>
        </w:tc>
        <w:tc>
          <w:tcPr>
            <w:tcW w:w="2642" w:type="pct"/>
            <w:shd w:val="clear" w:color="auto" w:fill="FFFFFF"/>
          </w:tcPr>
          <w:p w:rsidR="00672FF2" w:rsidRPr="0028677A" w:rsidRDefault="00672FF2" w:rsidP="00291AFB">
            <w:pPr>
              <w:spacing w:after="0" w:line="240" w:lineRule="auto"/>
              <w:jc w:val="both"/>
              <w:rPr>
                <w:rFonts w:ascii="Arial" w:eastAsia="Times New Roman" w:hAnsi="Arial" w:cs="Arial"/>
                <w:bCs/>
                <w:color w:val="000000"/>
                <w:sz w:val="18"/>
                <w:szCs w:val="18"/>
                <w:lang w:eastAsia="es-CR"/>
              </w:rPr>
            </w:pPr>
            <w:r w:rsidRPr="0028677A">
              <w:rPr>
                <w:rFonts w:ascii="Arial" w:eastAsia="Times New Roman" w:hAnsi="Arial" w:cs="Arial"/>
                <w:bCs/>
                <w:color w:val="000000"/>
                <w:sz w:val="18"/>
                <w:szCs w:val="18"/>
                <w:lang w:eastAsia="es-CR"/>
              </w:rPr>
              <w:t>El proyecto Juan Rafael Mora se ubica en Tejarcillos de Alajuelita.</w:t>
            </w:r>
          </w:p>
          <w:p w:rsidR="00672FF2" w:rsidRPr="0028677A" w:rsidRDefault="00672FF2" w:rsidP="00291AFB">
            <w:pPr>
              <w:spacing w:after="0" w:line="240" w:lineRule="auto"/>
              <w:jc w:val="both"/>
              <w:rPr>
                <w:rFonts w:ascii="Arial" w:eastAsia="Times New Roman" w:hAnsi="Arial" w:cs="Arial"/>
                <w:b/>
                <w:bCs/>
                <w:color w:val="000000"/>
                <w:sz w:val="18"/>
                <w:szCs w:val="18"/>
                <w:lang w:eastAsia="es-CR"/>
              </w:rPr>
            </w:pPr>
          </w:p>
        </w:tc>
      </w:tr>
    </w:tbl>
    <w:p w:rsidR="00672FF2" w:rsidRPr="00672FF2" w:rsidRDefault="00672FF2" w:rsidP="00291AFB">
      <w:pPr>
        <w:spacing w:after="0" w:line="240" w:lineRule="auto"/>
        <w:jc w:val="both"/>
        <w:rPr>
          <w:rFonts w:ascii="Arial" w:eastAsia="Times New Roman" w:hAnsi="Arial" w:cs="Arial"/>
          <w:b/>
          <w:bCs/>
          <w:color w:val="000000"/>
          <w:sz w:val="20"/>
          <w:szCs w:val="20"/>
          <w:lang w:eastAsia="es-CR"/>
        </w:rPr>
      </w:pPr>
    </w:p>
    <w:p w:rsidR="00672FF2" w:rsidRPr="00291AFB" w:rsidRDefault="00672FF2" w:rsidP="00291AFB">
      <w:pPr>
        <w:spacing w:after="0" w:line="240" w:lineRule="auto"/>
        <w:jc w:val="both"/>
        <w:rPr>
          <w:rFonts w:ascii="Arial" w:eastAsia="Times New Roman" w:hAnsi="Arial" w:cs="Arial"/>
          <w:bCs/>
          <w:color w:val="000000"/>
          <w:sz w:val="18"/>
          <w:szCs w:val="18"/>
          <w:lang w:eastAsia="es-CR"/>
        </w:rPr>
      </w:pPr>
      <w:r w:rsidRPr="00291AFB">
        <w:rPr>
          <w:rFonts w:ascii="Arial" w:eastAsia="Times New Roman" w:hAnsi="Arial" w:cs="Arial"/>
          <w:bCs/>
          <w:color w:val="000000"/>
          <w:sz w:val="18"/>
          <w:szCs w:val="18"/>
          <w:lang w:eastAsia="es-CR"/>
        </w:rPr>
        <w:t>Nota Fuente: Informe de rendimiento de cuentas de área. (2017)</w:t>
      </w:r>
    </w:p>
    <w:p w:rsidR="00672FF2" w:rsidRPr="00291AFB" w:rsidRDefault="00672FF2" w:rsidP="00672FF2">
      <w:pPr>
        <w:rPr>
          <w:rFonts w:ascii="Arial" w:eastAsia="Times New Roman" w:hAnsi="Arial" w:cs="Arial"/>
          <w:bCs/>
          <w:color w:val="000000"/>
          <w:sz w:val="18"/>
          <w:szCs w:val="18"/>
          <w:lang w:eastAsia="es-CR"/>
        </w:rPr>
      </w:pPr>
    </w:p>
    <w:p w:rsidR="00672FF2" w:rsidRPr="00672FF2" w:rsidRDefault="00672FF2" w:rsidP="00291AFB">
      <w:pPr>
        <w:spacing w:after="0" w:line="240" w:lineRule="auto"/>
        <w:jc w:val="both"/>
        <w:rPr>
          <w:rFonts w:ascii="Arial" w:eastAsia="Times New Roman" w:hAnsi="Arial" w:cs="Arial"/>
          <w:b/>
          <w:bCs/>
          <w:color w:val="000000"/>
          <w:sz w:val="20"/>
          <w:szCs w:val="20"/>
          <w:lang w:eastAsia="es-CR"/>
        </w:rPr>
      </w:pPr>
      <w:r w:rsidRPr="00672FF2">
        <w:rPr>
          <w:rFonts w:ascii="Arial" w:eastAsia="Times New Roman" w:hAnsi="Arial" w:cs="Arial"/>
          <w:b/>
          <w:bCs/>
          <w:color w:val="000000"/>
          <w:sz w:val="20"/>
          <w:szCs w:val="20"/>
          <w:lang w:eastAsia="es-CR"/>
        </w:rPr>
        <w:lastRenderedPageBreak/>
        <w:t>PROYECTO El ESTERO</w:t>
      </w:r>
    </w:p>
    <w:p w:rsidR="00672FF2" w:rsidRPr="00672FF2" w:rsidRDefault="00672FF2" w:rsidP="00291AFB">
      <w:pPr>
        <w:spacing w:after="0" w:line="240" w:lineRule="auto"/>
        <w:jc w:val="both"/>
        <w:rPr>
          <w:rFonts w:ascii="Arial" w:eastAsia="Times New Roman" w:hAnsi="Arial" w:cs="Arial"/>
          <w:b/>
          <w:bCs/>
          <w:color w:val="000000"/>
          <w:sz w:val="20"/>
          <w:szCs w:val="20"/>
          <w:lang w:eastAsia="es-CR"/>
        </w:rPr>
      </w:pPr>
    </w:p>
    <w:p w:rsidR="00672FF2" w:rsidRPr="00672FF2" w:rsidRDefault="00672FF2" w:rsidP="00291AFB">
      <w:pPr>
        <w:spacing w:after="0" w:line="240" w:lineRule="auto"/>
        <w:jc w:val="both"/>
        <w:rPr>
          <w:rFonts w:ascii="Arial" w:eastAsia="Times New Roman" w:hAnsi="Arial" w:cs="Arial"/>
          <w:b/>
          <w:bCs/>
          <w:color w:val="000000"/>
          <w:sz w:val="20"/>
          <w:szCs w:val="20"/>
          <w:lang w:eastAsia="es-CR"/>
        </w:rPr>
      </w:pPr>
      <w:r w:rsidRPr="00672FF2">
        <w:rPr>
          <w:rFonts w:ascii="Arial" w:eastAsia="Times New Roman" w:hAnsi="Arial" w:cs="Arial"/>
          <w:b/>
          <w:bCs/>
          <w:color w:val="000000"/>
          <w:sz w:val="20"/>
          <w:szCs w:val="20"/>
          <w:lang w:eastAsia="es-CR"/>
        </w:rPr>
        <w:t>Indicador N°25 Porcentaje de avance en la gestión de financiamiento para solicitar aprobación ante BANHVI</w:t>
      </w:r>
    </w:p>
    <w:p w:rsidR="00672FF2" w:rsidRPr="00672FF2" w:rsidRDefault="00672FF2" w:rsidP="00291AFB">
      <w:pPr>
        <w:spacing w:after="0" w:line="240" w:lineRule="auto"/>
        <w:jc w:val="both"/>
        <w:rPr>
          <w:rFonts w:ascii="Arial" w:eastAsia="Times New Roman" w:hAnsi="Arial" w:cs="Arial"/>
          <w:b/>
          <w:bCs/>
          <w:color w:val="000000"/>
          <w:sz w:val="20"/>
          <w:szCs w:val="20"/>
          <w:lang w:eastAsia="es-CR"/>
        </w:rPr>
      </w:pPr>
    </w:p>
    <w:p w:rsidR="00672FF2" w:rsidRPr="00291AFB" w:rsidRDefault="00672FF2" w:rsidP="00291AFB">
      <w:pPr>
        <w:spacing w:after="0" w:line="240" w:lineRule="auto"/>
        <w:jc w:val="both"/>
        <w:rPr>
          <w:rFonts w:ascii="Arial" w:eastAsia="Times New Roman" w:hAnsi="Arial" w:cs="Arial"/>
          <w:bCs/>
          <w:color w:val="000000"/>
          <w:sz w:val="20"/>
          <w:szCs w:val="20"/>
          <w:lang w:eastAsia="es-CR"/>
        </w:rPr>
      </w:pPr>
      <w:r w:rsidRPr="00291AFB">
        <w:rPr>
          <w:rFonts w:ascii="Arial" w:eastAsia="Times New Roman" w:hAnsi="Arial" w:cs="Arial"/>
          <w:bCs/>
          <w:color w:val="000000"/>
          <w:sz w:val="20"/>
          <w:szCs w:val="20"/>
          <w:lang w:eastAsia="es-CR"/>
        </w:rPr>
        <w:t>A diciembre se ha trabajado en el procesamiento de la información del censo de las familias del proyecto, se solicitó en Acueductos y Alcantarillados (AyA) la reconsideración de la disponibilidad de agua potable, se tramitó la contratación, selección y adjudicación de la empresa encargada de realizar el estudio de suelos, además se recibió la respuesta de la reconsideración de disponibilidad de agua solicitada al AyA para poder continuar avanzando con el proyecto.</w:t>
      </w:r>
    </w:p>
    <w:p w:rsidR="00672FF2" w:rsidRPr="00291AFB" w:rsidRDefault="00672FF2" w:rsidP="00291AFB">
      <w:pPr>
        <w:spacing w:after="0" w:line="240" w:lineRule="auto"/>
        <w:jc w:val="both"/>
        <w:rPr>
          <w:rFonts w:ascii="Arial" w:eastAsia="Times New Roman" w:hAnsi="Arial" w:cs="Arial"/>
          <w:bCs/>
          <w:color w:val="000000"/>
          <w:sz w:val="20"/>
          <w:szCs w:val="20"/>
          <w:lang w:eastAsia="es-CR"/>
        </w:rPr>
      </w:pPr>
    </w:p>
    <w:p w:rsidR="00672FF2" w:rsidRPr="00291AFB" w:rsidRDefault="00672FF2" w:rsidP="00291AFB">
      <w:pPr>
        <w:spacing w:after="0" w:line="240" w:lineRule="auto"/>
        <w:jc w:val="both"/>
        <w:rPr>
          <w:rFonts w:ascii="Arial" w:eastAsia="Times New Roman" w:hAnsi="Arial" w:cs="Arial"/>
          <w:bCs/>
          <w:color w:val="000000"/>
          <w:sz w:val="20"/>
          <w:szCs w:val="20"/>
          <w:lang w:eastAsia="es-CR"/>
        </w:rPr>
      </w:pPr>
      <w:r w:rsidRPr="00291AFB">
        <w:rPr>
          <w:rFonts w:ascii="Arial" w:eastAsia="Times New Roman" w:hAnsi="Arial" w:cs="Arial"/>
          <w:bCs/>
          <w:color w:val="000000"/>
          <w:sz w:val="20"/>
          <w:szCs w:val="20"/>
          <w:lang w:eastAsia="es-CR"/>
        </w:rPr>
        <w:t>Sin embargo, la gestión de financiamiento ante BANHVI no presenta avance, porque no se cuenta con la disponibilidad de agua para todas las soluciones de vivienda que se pretenden construir.</w:t>
      </w:r>
    </w:p>
    <w:p w:rsidR="00672FF2" w:rsidRPr="00291AFB" w:rsidRDefault="00672FF2" w:rsidP="00291AFB">
      <w:pPr>
        <w:spacing w:after="0" w:line="240" w:lineRule="auto"/>
        <w:jc w:val="both"/>
        <w:rPr>
          <w:rFonts w:ascii="Arial" w:eastAsia="Times New Roman" w:hAnsi="Arial" w:cs="Arial"/>
          <w:bCs/>
          <w:color w:val="000000"/>
          <w:sz w:val="20"/>
          <w:szCs w:val="20"/>
          <w:lang w:eastAsia="es-CR"/>
        </w:rPr>
      </w:pPr>
    </w:p>
    <w:p w:rsidR="00672FF2" w:rsidRPr="00291AFB" w:rsidRDefault="00672FF2" w:rsidP="00291AFB">
      <w:pPr>
        <w:spacing w:after="0" w:line="240" w:lineRule="auto"/>
        <w:jc w:val="both"/>
        <w:rPr>
          <w:rFonts w:ascii="Arial" w:eastAsia="Times New Roman" w:hAnsi="Arial" w:cs="Arial"/>
          <w:bCs/>
          <w:color w:val="000000"/>
          <w:sz w:val="20"/>
          <w:szCs w:val="20"/>
          <w:lang w:eastAsia="es-CR"/>
        </w:rPr>
      </w:pPr>
      <w:r w:rsidRPr="00291AFB">
        <w:rPr>
          <w:rFonts w:ascii="Arial" w:eastAsia="Times New Roman" w:hAnsi="Arial" w:cs="Arial"/>
          <w:bCs/>
          <w:color w:val="000000"/>
          <w:sz w:val="20"/>
          <w:szCs w:val="20"/>
          <w:lang w:eastAsia="es-CR"/>
        </w:rPr>
        <w:t>Seguidamente se muestra el detalle de lo actuado:</w:t>
      </w:r>
    </w:p>
    <w:tbl>
      <w:tblPr>
        <w:tblW w:w="9103" w:type="dxa"/>
        <w:tblBorders>
          <w:insideH w:val="single" w:sz="6" w:space="0" w:color="000000"/>
          <w:insideV w:val="single" w:sz="6" w:space="0" w:color="000000"/>
        </w:tblBorders>
        <w:tblLook w:val="04A0" w:firstRow="1" w:lastRow="0" w:firstColumn="1" w:lastColumn="0" w:noHBand="0" w:noVBand="1"/>
      </w:tblPr>
      <w:tblGrid>
        <w:gridCol w:w="4293"/>
        <w:gridCol w:w="4810"/>
      </w:tblGrid>
      <w:tr w:rsidR="00672FF2" w:rsidRPr="00672FF2" w:rsidTr="002D5BDD">
        <w:trPr>
          <w:trHeight w:val="267"/>
        </w:trPr>
        <w:tc>
          <w:tcPr>
            <w:tcW w:w="5000" w:type="pct"/>
            <w:gridSpan w:val="2"/>
            <w:tcBorders>
              <w:top w:val="nil"/>
              <w:left w:val="nil"/>
              <w:bottom w:val="single" w:sz="6" w:space="0" w:color="000000"/>
              <w:right w:val="nil"/>
            </w:tcBorders>
            <w:noWrap/>
          </w:tcPr>
          <w:p w:rsidR="00672FF2" w:rsidRPr="00672FF2" w:rsidRDefault="00672FF2" w:rsidP="00291AFB">
            <w:pPr>
              <w:spacing w:after="0" w:line="240" w:lineRule="auto"/>
              <w:jc w:val="both"/>
              <w:rPr>
                <w:rFonts w:ascii="Arial" w:eastAsia="Times New Roman" w:hAnsi="Arial" w:cs="Arial"/>
                <w:b/>
                <w:bCs/>
                <w:color w:val="000000"/>
                <w:sz w:val="20"/>
                <w:szCs w:val="20"/>
                <w:lang w:eastAsia="es-CR"/>
              </w:rPr>
            </w:pPr>
          </w:p>
          <w:p w:rsidR="00672FF2" w:rsidRPr="00672FF2" w:rsidRDefault="00672FF2" w:rsidP="00291AFB">
            <w:pPr>
              <w:spacing w:after="0" w:line="240" w:lineRule="auto"/>
              <w:jc w:val="center"/>
              <w:rPr>
                <w:rFonts w:ascii="Arial" w:eastAsia="Times New Roman" w:hAnsi="Arial" w:cs="Arial"/>
                <w:b/>
                <w:bCs/>
                <w:color w:val="000000"/>
                <w:sz w:val="20"/>
                <w:szCs w:val="20"/>
                <w:lang w:eastAsia="es-CR"/>
              </w:rPr>
            </w:pPr>
            <w:r w:rsidRPr="00672FF2">
              <w:rPr>
                <w:rFonts w:ascii="Arial" w:eastAsia="Times New Roman" w:hAnsi="Arial" w:cs="Arial"/>
                <w:b/>
                <w:bCs/>
                <w:color w:val="000000"/>
                <w:sz w:val="20"/>
                <w:szCs w:val="20"/>
                <w:lang w:eastAsia="es-CR"/>
              </w:rPr>
              <w:t>Tabla 23 Acciones Realizadas</w:t>
            </w:r>
          </w:p>
        </w:tc>
      </w:tr>
      <w:tr w:rsidR="00672FF2" w:rsidRPr="00672FF2" w:rsidTr="002D5BDD">
        <w:trPr>
          <w:trHeight w:val="817"/>
        </w:trPr>
        <w:tc>
          <w:tcPr>
            <w:tcW w:w="2358" w:type="pct"/>
            <w:tcBorders>
              <w:top w:val="single" w:sz="6" w:space="0" w:color="000000"/>
              <w:left w:val="nil"/>
              <w:bottom w:val="single" w:sz="6" w:space="0" w:color="000000"/>
              <w:right w:val="single" w:sz="6" w:space="0" w:color="000000"/>
            </w:tcBorders>
            <w:hideMark/>
          </w:tcPr>
          <w:p w:rsidR="00672FF2" w:rsidRPr="00672FF2" w:rsidRDefault="00672FF2" w:rsidP="00291AFB">
            <w:pPr>
              <w:spacing w:after="0" w:line="240" w:lineRule="auto"/>
              <w:jc w:val="both"/>
              <w:rPr>
                <w:rFonts w:ascii="Arial" w:eastAsia="Times New Roman" w:hAnsi="Arial" w:cs="Arial"/>
                <w:b/>
                <w:bCs/>
                <w:color w:val="000000"/>
                <w:sz w:val="20"/>
                <w:szCs w:val="20"/>
                <w:lang w:eastAsia="es-CR"/>
              </w:rPr>
            </w:pPr>
            <w:r w:rsidRPr="00672FF2">
              <w:rPr>
                <w:rFonts w:ascii="Arial" w:eastAsia="Times New Roman" w:hAnsi="Arial" w:cs="Arial"/>
                <w:b/>
                <w:bCs/>
                <w:color w:val="000000"/>
                <w:sz w:val="20"/>
                <w:szCs w:val="20"/>
                <w:lang w:eastAsia="es-CR"/>
              </w:rPr>
              <w:t>a) Actividades realizadas:</w:t>
            </w:r>
          </w:p>
        </w:tc>
        <w:tc>
          <w:tcPr>
            <w:tcW w:w="2642" w:type="pct"/>
            <w:tcBorders>
              <w:top w:val="single" w:sz="6" w:space="0" w:color="000000"/>
              <w:left w:val="single" w:sz="6" w:space="0" w:color="000000"/>
              <w:bottom w:val="single" w:sz="6" w:space="0" w:color="000000"/>
              <w:right w:val="nil"/>
            </w:tcBorders>
          </w:tcPr>
          <w:p w:rsidR="00672FF2" w:rsidRPr="00291AFB" w:rsidRDefault="00672FF2" w:rsidP="00291AFB">
            <w:pPr>
              <w:spacing w:after="0" w:line="240" w:lineRule="auto"/>
              <w:jc w:val="both"/>
              <w:rPr>
                <w:rFonts w:ascii="Arial" w:eastAsia="Times New Roman" w:hAnsi="Arial" w:cs="Arial"/>
                <w:bCs/>
                <w:color w:val="000000"/>
                <w:sz w:val="20"/>
                <w:szCs w:val="20"/>
                <w:lang w:eastAsia="es-CR"/>
              </w:rPr>
            </w:pPr>
            <w:r w:rsidRPr="00291AFB">
              <w:rPr>
                <w:rFonts w:ascii="Arial" w:eastAsia="Times New Roman" w:hAnsi="Arial" w:cs="Arial"/>
                <w:bCs/>
                <w:color w:val="000000"/>
                <w:sz w:val="20"/>
                <w:szCs w:val="20"/>
                <w:lang w:eastAsia="es-CR"/>
              </w:rPr>
              <w:t>- Se procesó la información del censo, para la generación de datos y gráficos, como justificación de la cantidad de familias que conforman el proyecto.</w:t>
            </w:r>
          </w:p>
          <w:p w:rsidR="00672FF2" w:rsidRPr="00291AFB" w:rsidRDefault="00672FF2" w:rsidP="00291AFB">
            <w:pPr>
              <w:spacing w:after="0" w:line="240" w:lineRule="auto"/>
              <w:jc w:val="both"/>
              <w:rPr>
                <w:rFonts w:ascii="Arial" w:eastAsia="Times New Roman" w:hAnsi="Arial" w:cs="Arial"/>
                <w:bCs/>
                <w:color w:val="000000"/>
                <w:sz w:val="20"/>
                <w:szCs w:val="20"/>
                <w:lang w:eastAsia="es-CR"/>
              </w:rPr>
            </w:pPr>
            <w:r w:rsidRPr="00291AFB">
              <w:rPr>
                <w:rFonts w:ascii="Arial" w:eastAsia="Times New Roman" w:hAnsi="Arial" w:cs="Arial"/>
                <w:bCs/>
                <w:color w:val="000000"/>
                <w:sz w:val="20"/>
                <w:szCs w:val="20"/>
                <w:lang w:eastAsia="es-CR"/>
              </w:rPr>
              <w:t xml:space="preserve">- </w:t>
            </w:r>
            <w:r w:rsidRPr="00291AFB">
              <w:rPr>
                <w:rFonts w:ascii="Arial" w:eastAsia="Times New Roman" w:hAnsi="Arial" w:cs="Arial"/>
                <w:bCs/>
                <w:color w:val="000000"/>
                <w:sz w:val="20"/>
                <w:szCs w:val="20"/>
                <w:lang w:eastAsia="es-CR"/>
              </w:rPr>
              <w:tab/>
              <w:t>Se solicitó la reconsideración de la carta de disponibilidad de agua potable al Director de la Región Central Oeste del AyA, donde se otorga servicio a 55 familias y se recibió respuesta del AyA donde brindan anuencia para emitir una constancia de capacidad hídrica.</w:t>
            </w:r>
          </w:p>
          <w:p w:rsidR="00672FF2" w:rsidRPr="00291AFB" w:rsidRDefault="00672FF2" w:rsidP="00291AFB">
            <w:pPr>
              <w:spacing w:after="0" w:line="240" w:lineRule="auto"/>
              <w:jc w:val="both"/>
              <w:rPr>
                <w:rFonts w:ascii="Arial" w:eastAsia="Times New Roman" w:hAnsi="Arial" w:cs="Arial"/>
                <w:bCs/>
                <w:color w:val="000000"/>
                <w:sz w:val="20"/>
                <w:szCs w:val="20"/>
                <w:lang w:eastAsia="es-CR"/>
              </w:rPr>
            </w:pPr>
            <w:r w:rsidRPr="00291AFB">
              <w:rPr>
                <w:rFonts w:ascii="Arial" w:eastAsia="Times New Roman" w:hAnsi="Arial" w:cs="Arial"/>
                <w:bCs/>
                <w:color w:val="000000"/>
                <w:sz w:val="20"/>
                <w:szCs w:val="20"/>
                <w:lang w:eastAsia="es-CR"/>
              </w:rPr>
              <w:t>- Se levantaron los requisitos e inclusión de términos de referencia para la contratación del estudio de suelos.</w:t>
            </w:r>
          </w:p>
          <w:p w:rsidR="00672FF2" w:rsidRPr="00291AFB" w:rsidRDefault="00672FF2" w:rsidP="00291AFB">
            <w:pPr>
              <w:spacing w:after="0" w:line="240" w:lineRule="auto"/>
              <w:jc w:val="both"/>
              <w:rPr>
                <w:rFonts w:ascii="Arial" w:eastAsia="Times New Roman" w:hAnsi="Arial" w:cs="Arial"/>
                <w:bCs/>
                <w:color w:val="000000"/>
                <w:sz w:val="20"/>
                <w:szCs w:val="20"/>
                <w:lang w:eastAsia="es-CR"/>
              </w:rPr>
            </w:pPr>
            <w:r w:rsidRPr="00291AFB">
              <w:rPr>
                <w:rFonts w:ascii="Arial" w:eastAsia="Times New Roman" w:hAnsi="Arial" w:cs="Arial"/>
                <w:bCs/>
                <w:color w:val="000000"/>
                <w:sz w:val="20"/>
                <w:szCs w:val="20"/>
                <w:lang w:eastAsia="es-CR"/>
              </w:rPr>
              <w:t>- Se adjudicó  a la empresa encargada de realizar el estudio de suelos.</w:t>
            </w:r>
          </w:p>
          <w:p w:rsidR="00672FF2" w:rsidRPr="00291AFB" w:rsidRDefault="00672FF2" w:rsidP="00291AFB">
            <w:pPr>
              <w:spacing w:after="0" w:line="240" w:lineRule="auto"/>
              <w:jc w:val="both"/>
              <w:rPr>
                <w:rFonts w:ascii="Arial" w:eastAsia="Times New Roman" w:hAnsi="Arial" w:cs="Arial"/>
                <w:bCs/>
                <w:color w:val="000000"/>
                <w:sz w:val="20"/>
                <w:szCs w:val="20"/>
                <w:lang w:eastAsia="es-CR"/>
              </w:rPr>
            </w:pPr>
          </w:p>
        </w:tc>
      </w:tr>
      <w:tr w:rsidR="00672FF2" w:rsidRPr="00672FF2" w:rsidTr="002D5BDD">
        <w:trPr>
          <w:trHeight w:val="698"/>
        </w:trPr>
        <w:tc>
          <w:tcPr>
            <w:tcW w:w="2358" w:type="pct"/>
            <w:tcBorders>
              <w:top w:val="single" w:sz="6" w:space="0" w:color="000000"/>
              <w:left w:val="nil"/>
              <w:bottom w:val="single" w:sz="6" w:space="0" w:color="000000"/>
              <w:right w:val="single" w:sz="6" w:space="0" w:color="000000"/>
            </w:tcBorders>
          </w:tcPr>
          <w:p w:rsidR="00672FF2" w:rsidRPr="00672FF2" w:rsidRDefault="00672FF2" w:rsidP="00291AFB">
            <w:pPr>
              <w:spacing w:after="0" w:line="240" w:lineRule="auto"/>
              <w:jc w:val="both"/>
              <w:rPr>
                <w:rFonts w:ascii="Arial" w:eastAsia="Times New Roman" w:hAnsi="Arial" w:cs="Arial"/>
                <w:b/>
                <w:bCs/>
                <w:color w:val="000000"/>
                <w:sz w:val="20"/>
                <w:szCs w:val="20"/>
                <w:lang w:eastAsia="es-CR"/>
              </w:rPr>
            </w:pPr>
            <w:r w:rsidRPr="00672FF2">
              <w:rPr>
                <w:rFonts w:ascii="Arial" w:eastAsia="Times New Roman" w:hAnsi="Arial" w:cs="Arial"/>
                <w:b/>
                <w:bCs/>
                <w:color w:val="000000"/>
                <w:sz w:val="20"/>
                <w:szCs w:val="20"/>
                <w:lang w:eastAsia="es-CR"/>
              </w:rPr>
              <w:t xml:space="preserve">b) Limitaciones: </w:t>
            </w:r>
          </w:p>
          <w:p w:rsidR="00672FF2" w:rsidRPr="00672FF2" w:rsidRDefault="00672FF2" w:rsidP="00291AFB">
            <w:pPr>
              <w:spacing w:after="0" w:line="240" w:lineRule="auto"/>
              <w:jc w:val="both"/>
              <w:rPr>
                <w:rFonts w:ascii="Arial" w:eastAsia="Times New Roman" w:hAnsi="Arial" w:cs="Arial"/>
                <w:b/>
                <w:bCs/>
                <w:color w:val="000000"/>
                <w:sz w:val="20"/>
                <w:szCs w:val="20"/>
                <w:lang w:eastAsia="es-CR"/>
              </w:rPr>
            </w:pPr>
          </w:p>
        </w:tc>
        <w:tc>
          <w:tcPr>
            <w:tcW w:w="2642" w:type="pct"/>
            <w:tcBorders>
              <w:top w:val="single" w:sz="6" w:space="0" w:color="000000"/>
              <w:left w:val="single" w:sz="6" w:space="0" w:color="000000"/>
              <w:bottom w:val="single" w:sz="6" w:space="0" w:color="000000"/>
              <w:right w:val="nil"/>
            </w:tcBorders>
          </w:tcPr>
          <w:p w:rsidR="00672FF2" w:rsidRPr="00291AFB" w:rsidRDefault="00672FF2" w:rsidP="00291AFB">
            <w:pPr>
              <w:spacing w:after="0" w:line="240" w:lineRule="auto"/>
              <w:jc w:val="both"/>
              <w:rPr>
                <w:rFonts w:ascii="Arial" w:eastAsia="Times New Roman" w:hAnsi="Arial" w:cs="Arial"/>
                <w:bCs/>
                <w:color w:val="000000"/>
                <w:sz w:val="20"/>
                <w:szCs w:val="20"/>
                <w:lang w:eastAsia="es-CR"/>
              </w:rPr>
            </w:pPr>
            <w:r w:rsidRPr="00291AFB">
              <w:rPr>
                <w:rFonts w:ascii="Arial" w:eastAsia="Times New Roman" w:hAnsi="Arial" w:cs="Arial"/>
                <w:bCs/>
                <w:color w:val="000000"/>
                <w:sz w:val="20"/>
                <w:szCs w:val="20"/>
                <w:lang w:eastAsia="es-CR"/>
              </w:rPr>
              <w:t>El proyecto no cuenta con disponibilidad de agua para todas las soluciones de vivienda que se pretenden construir.</w:t>
            </w:r>
          </w:p>
          <w:p w:rsidR="00672FF2" w:rsidRPr="00291AFB" w:rsidRDefault="00672FF2" w:rsidP="00291AFB">
            <w:pPr>
              <w:spacing w:after="0" w:line="240" w:lineRule="auto"/>
              <w:jc w:val="both"/>
              <w:rPr>
                <w:rFonts w:ascii="Arial" w:eastAsia="Times New Roman" w:hAnsi="Arial" w:cs="Arial"/>
                <w:bCs/>
                <w:color w:val="000000"/>
                <w:sz w:val="20"/>
                <w:szCs w:val="20"/>
                <w:lang w:eastAsia="es-CR"/>
              </w:rPr>
            </w:pPr>
          </w:p>
        </w:tc>
      </w:tr>
      <w:tr w:rsidR="00672FF2" w:rsidRPr="00672FF2" w:rsidTr="002D5BDD">
        <w:trPr>
          <w:trHeight w:val="466"/>
        </w:trPr>
        <w:tc>
          <w:tcPr>
            <w:tcW w:w="2358" w:type="pct"/>
            <w:tcBorders>
              <w:top w:val="single" w:sz="6" w:space="0" w:color="000000"/>
              <w:left w:val="nil"/>
              <w:bottom w:val="single" w:sz="6" w:space="0" w:color="000000"/>
              <w:right w:val="single" w:sz="6" w:space="0" w:color="000000"/>
            </w:tcBorders>
            <w:hideMark/>
          </w:tcPr>
          <w:p w:rsidR="00672FF2" w:rsidRPr="00672FF2" w:rsidRDefault="00672FF2" w:rsidP="00291AFB">
            <w:pPr>
              <w:spacing w:after="0" w:line="240" w:lineRule="auto"/>
              <w:jc w:val="both"/>
              <w:rPr>
                <w:rFonts w:ascii="Arial" w:eastAsia="Times New Roman" w:hAnsi="Arial" w:cs="Arial"/>
                <w:b/>
                <w:bCs/>
                <w:color w:val="000000"/>
                <w:sz w:val="20"/>
                <w:szCs w:val="20"/>
                <w:lang w:eastAsia="es-CR"/>
              </w:rPr>
            </w:pPr>
            <w:r w:rsidRPr="00672FF2">
              <w:rPr>
                <w:rFonts w:ascii="Arial" w:eastAsia="Times New Roman" w:hAnsi="Arial" w:cs="Arial"/>
                <w:b/>
                <w:bCs/>
                <w:color w:val="000000"/>
                <w:sz w:val="20"/>
                <w:szCs w:val="20"/>
                <w:lang w:eastAsia="es-CR"/>
              </w:rPr>
              <w:t>c) Medidas correctivas o acciones de mejora (realizadas y por realizar) para el logro de la meta:</w:t>
            </w:r>
          </w:p>
        </w:tc>
        <w:tc>
          <w:tcPr>
            <w:tcW w:w="2642" w:type="pct"/>
            <w:tcBorders>
              <w:top w:val="single" w:sz="6" w:space="0" w:color="000000"/>
              <w:left w:val="single" w:sz="6" w:space="0" w:color="000000"/>
              <w:bottom w:val="single" w:sz="6" w:space="0" w:color="000000"/>
              <w:right w:val="nil"/>
            </w:tcBorders>
            <w:hideMark/>
          </w:tcPr>
          <w:p w:rsidR="00672FF2" w:rsidRPr="00291AFB" w:rsidRDefault="00672FF2" w:rsidP="00291AFB">
            <w:pPr>
              <w:spacing w:after="0" w:line="240" w:lineRule="auto"/>
              <w:jc w:val="both"/>
              <w:rPr>
                <w:rFonts w:ascii="Arial" w:eastAsia="Times New Roman" w:hAnsi="Arial" w:cs="Arial"/>
                <w:bCs/>
                <w:color w:val="000000"/>
                <w:sz w:val="20"/>
                <w:szCs w:val="20"/>
                <w:lang w:eastAsia="es-CR"/>
              </w:rPr>
            </w:pPr>
            <w:r w:rsidRPr="00291AFB">
              <w:rPr>
                <w:rFonts w:ascii="Arial" w:eastAsia="Times New Roman" w:hAnsi="Arial" w:cs="Arial"/>
                <w:bCs/>
                <w:color w:val="000000"/>
                <w:sz w:val="20"/>
                <w:szCs w:val="20"/>
                <w:lang w:eastAsia="es-CR"/>
              </w:rPr>
              <w:t>Se emitirá una carta de compromiso para realizar las obras de infraestructura solicitadas por el AyA con el fin de que se otorgue la constancia de capacidad hídrica.</w:t>
            </w:r>
          </w:p>
        </w:tc>
      </w:tr>
      <w:tr w:rsidR="00672FF2" w:rsidRPr="00672FF2" w:rsidTr="002D5BDD">
        <w:trPr>
          <w:trHeight w:val="841"/>
        </w:trPr>
        <w:tc>
          <w:tcPr>
            <w:tcW w:w="2358" w:type="pct"/>
            <w:tcBorders>
              <w:top w:val="single" w:sz="6" w:space="0" w:color="000000"/>
              <w:left w:val="nil"/>
              <w:bottom w:val="nil"/>
              <w:right w:val="single" w:sz="6" w:space="0" w:color="000000"/>
            </w:tcBorders>
            <w:hideMark/>
          </w:tcPr>
          <w:p w:rsidR="00672FF2" w:rsidRPr="00672FF2" w:rsidRDefault="00672FF2" w:rsidP="00291AFB">
            <w:pPr>
              <w:spacing w:after="0" w:line="240" w:lineRule="auto"/>
              <w:jc w:val="both"/>
              <w:rPr>
                <w:rFonts w:ascii="Arial" w:eastAsia="Times New Roman" w:hAnsi="Arial" w:cs="Arial"/>
                <w:b/>
                <w:bCs/>
                <w:color w:val="000000"/>
                <w:sz w:val="20"/>
                <w:szCs w:val="20"/>
                <w:lang w:eastAsia="es-CR"/>
              </w:rPr>
            </w:pPr>
            <w:r w:rsidRPr="00672FF2">
              <w:rPr>
                <w:rFonts w:ascii="Arial" w:eastAsia="Times New Roman" w:hAnsi="Arial" w:cs="Arial"/>
                <w:b/>
                <w:bCs/>
                <w:color w:val="000000"/>
                <w:sz w:val="20"/>
                <w:szCs w:val="20"/>
                <w:lang w:eastAsia="es-CR"/>
              </w:rPr>
              <w:t>Observaciones:</w:t>
            </w:r>
          </w:p>
        </w:tc>
        <w:tc>
          <w:tcPr>
            <w:tcW w:w="2642" w:type="pct"/>
            <w:tcBorders>
              <w:top w:val="single" w:sz="6" w:space="0" w:color="000000"/>
              <w:left w:val="single" w:sz="6" w:space="0" w:color="000000"/>
              <w:bottom w:val="nil"/>
              <w:right w:val="nil"/>
            </w:tcBorders>
            <w:hideMark/>
          </w:tcPr>
          <w:p w:rsidR="00672FF2" w:rsidRPr="00291AFB" w:rsidRDefault="00672FF2" w:rsidP="00291AFB">
            <w:pPr>
              <w:spacing w:after="0" w:line="240" w:lineRule="auto"/>
              <w:jc w:val="both"/>
              <w:rPr>
                <w:rFonts w:ascii="Arial" w:eastAsia="Times New Roman" w:hAnsi="Arial" w:cs="Arial"/>
                <w:bCs/>
                <w:color w:val="000000"/>
                <w:sz w:val="20"/>
                <w:szCs w:val="20"/>
                <w:lang w:eastAsia="es-CR"/>
              </w:rPr>
            </w:pPr>
            <w:r w:rsidRPr="00291AFB">
              <w:rPr>
                <w:rFonts w:ascii="Arial" w:eastAsia="Times New Roman" w:hAnsi="Arial" w:cs="Arial"/>
                <w:bCs/>
                <w:color w:val="000000"/>
                <w:sz w:val="20"/>
                <w:szCs w:val="20"/>
                <w:lang w:eastAsia="es-CR"/>
              </w:rPr>
              <w:t>El proyecto se ubica en San Antonio de Puriscal y corresponde a la erradicación de un asentamiento informal consolidado, compuesto por 135 familias, ubicadas en un terreno INVU.</w:t>
            </w:r>
          </w:p>
        </w:tc>
      </w:tr>
    </w:tbl>
    <w:p w:rsidR="00672FF2" w:rsidRPr="00672FF2" w:rsidRDefault="00672FF2" w:rsidP="00291AFB">
      <w:pPr>
        <w:spacing w:after="0" w:line="240" w:lineRule="auto"/>
        <w:jc w:val="both"/>
        <w:rPr>
          <w:rFonts w:ascii="Arial" w:eastAsia="Times New Roman" w:hAnsi="Arial" w:cs="Arial"/>
          <w:b/>
          <w:bCs/>
          <w:color w:val="000000"/>
          <w:sz w:val="20"/>
          <w:szCs w:val="20"/>
          <w:lang w:eastAsia="es-CR"/>
        </w:rPr>
      </w:pPr>
    </w:p>
    <w:p w:rsidR="00672FF2" w:rsidRPr="00291AFB" w:rsidRDefault="00672FF2" w:rsidP="00291AFB">
      <w:pPr>
        <w:spacing w:after="0" w:line="240" w:lineRule="auto"/>
        <w:jc w:val="both"/>
        <w:rPr>
          <w:rFonts w:ascii="Arial" w:eastAsia="Times New Roman" w:hAnsi="Arial" w:cs="Arial"/>
          <w:bCs/>
          <w:color w:val="000000"/>
          <w:sz w:val="18"/>
          <w:szCs w:val="18"/>
          <w:lang w:eastAsia="es-CR"/>
        </w:rPr>
      </w:pPr>
      <w:r w:rsidRPr="00291AFB">
        <w:rPr>
          <w:rFonts w:ascii="Arial" w:eastAsia="Times New Roman" w:hAnsi="Arial" w:cs="Arial"/>
          <w:bCs/>
          <w:color w:val="000000"/>
          <w:sz w:val="18"/>
          <w:szCs w:val="18"/>
          <w:lang w:eastAsia="es-CR"/>
        </w:rPr>
        <w:t>Nota Fuente: Informe de rendimiento de cuentas de área. (2017)</w:t>
      </w:r>
    </w:p>
    <w:p w:rsidR="00672FF2" w:rsidRPr="00672FF2" w:rsidRDefault="00672FF2" w:rsidP="00672FF2">
      <w:pPr>
        <w:rPr>
          <w:rFonts w:ascii="Arial" w:eastAsia="Times New Roman" w:hAnsi="Arial" w:cs="Arial"/>
          <w:b/>
          <w:bCs/>
          <w:color w:val="000000"/>
          <w:sz w:val="20"/>
          <w:szCs w:val="20"/>
          <w:lang w:eastAsia="es-CR"/>
        </w:rPr>
      </w:pPr>
    </w:p>
    <w:p w:rsidR="00291AFB" w:rsidRDefault="00672FF2" w:rsidP="00291AFB">
      <w:pPr>
        <w:jc w:val="both"/>
        <w:rPr>
          <w:rFonts w:ascii="Arial" w:eastAsia="Times New Roman" w:hAnsi="Arial" w:cs="Arial"/>
          <w:b/>
          <w:bCs/>
          <w:color w:val="000000"/>
          <w:sz w:val="20"/>
          <w:szCs w:val="20"/>
          <w:lang w:eastAsia="es-CR"/>
        </w:rPr>
      </w:pPr>
      <w:r w:rsidRPr="00672FF2">
        <w:rPr>
          <w:rFonts w:ascii="Arial" w:eastAsia="Times New Roman" w:hAnsi="Arial" w:cs="Arial"/>
          <w:b/>
          <w:bCs/>
          <w:color w:val="000000"/>
          <w:sz w:val="20"/>
          <w:szCs w:val="20"/>
          <w:lang w:eastAsia="es-CR"/>
        </w:rPr>
        <w:br w:type="page"/>
      </w:r>
    </w:p>
    <w:p w:rsidR="00291AFB" w:rsidRDefault="00291AFB" w:rsidP="00291AFB">
      <w:pPr>
        <w:jc w:val="both"/>
        <w:rPr>
          <w:rFonts w:ascii="Arial" w:eastAsia="Times New Roman" w:hAnsi="Arial" w:cs="Arial"/>
          <w:b/>
          <w:bCs/>
          <w:color w:val="000000"/>
          <w:sz w:val="20"/>
          <w:szCs w:val="20"/>
          <w:lang w:eastAsia="es-CR"/>
        </w:rPr>
      </w:pPr>
    </w:p>
    <w:p w:rsidR="00672FF2" w:rsidRPr="00672FF2" w:rsidRDefault="00672FF2" w:rsidP="00291AFB">
      <w:pPr>
        <w:jc w:val="both"/>
        <w:rPr>
          <w:rFonts w:ascii="Arial" w:eastAsia="Times New Roman" w:hAnsi="Arial" w:cs="Arial"/>
          <w:b/>
          <w:bCs/>
          <w:color w:val="000000"/>
          <w:sz w:val="20"/>
          <w:szCs w:val="20"/>
          <w:lang w:eastAsia="es-CR"/>
        </w:rPr>
      </w:pPr>
      <w:r w:rsidRPr="00672FF2">
        <w:rPr>
          <w:rFonts w:ascii="Arial" w:eastAsia="Times New Roman" w:hAnsi="Arial" w:cs="Arial"/>
          <w:b/>
          <w:bCs/>
          <w:color w:val="000000"/>
          <w:sz w:val="20"/>
          <w:szCs w:val="20"/>
          <w:lang w:eastAsia="es-CR"/>
        </w:rPr>
        <w:t>PROYECTO FINCA BOSCHINI</w:t>
      </w:r>
    </w:p>
    <w:p w:rsidR="00672FF2" w:rsidRPr="00672FF2" w:rsidRDefault="00672FF2" w:rsidP="00291AFB">
      <w:pPr>
        <w:jc w:val="both"/>
        <w:rPr>
          <w:rFonts w:ascii="Arial" w:eastAsia="Times New Roman" w:hAnsi="Arial" w:cs="Arial"/>
          <w:b/>
          <w:bCs/>
          <w:color w:val="000000"/>
          <w:sz w:val="20"/>
          <w:szCs w:val="20"/>
          <w:lang w:eastAsia="es-CR"/>
        </w:rPr>
      </w:pPr>
      <w:r w:rsidRPr="00672FF2">
        <w:rPr>
          <w:rFonts w:ascii="Arial" w:eastAsia="Times New Roman" w:hAnsi="Arial" w:cs="Arial"/>
          <w:b/>
          <w:bCs/>
          <w:color w:val="000000"/>
          <w:sz w:val="20"/>
          <w:szCs w:val="20"/>
          <w:lang w:eastAsia="es-CR"/>
        </w:rPr>
        <w:t>Indicador N°26 Porcentaje de avance en la etapa de preinversión del Bono Comunal</w:t>
      </w:r>
    </w:p>
    <w:p w:rsidR="00672FF2" w:rsidRPr="00672FF2" w:rsidRDefault="00672FF2" w:rsidP="00291AFB">
      <w:pPr>
        <w:jc w:val="both"/>
        <w:rPr>
          <w:rFonts w:ascii="Arial" w:eastAsia="Times New Roman" w:hAnsi="Arial" w:cs="Arial"/>
          <w:b/>
          <w:bCs/>
          <w:color w:val="000000"/>
          <w:sz w:val="20"/>
          <w:szCs w:val="20"/>
          <w:lang w:eastAsia="es-CR"/>
        </w:rPr>
      </w:pPr>
      <w:r w:rsidRPr="00672FF2">
        <w:rPr>
          <w:rFonts w:ascii="Arial" w:eastAsia="Times New Roman" w:hAnsi="Arial" w:cs="Arial"/>
          <w:b/>
          <w:bCs/>
          <w:color w:val="000000"/>
          <w:sz w:val="20"/>
          <w:szCs w:val="20"/>
          <w:lang w:eastAsia="es-CR"/>
        </w:rPr>
        <w:t>Indicador N°27 Monto en millones de colones de  los recursos invertidos en obras de estabilización</w:t>
      </w:r>
    </w:p>
    <w:p w:rsidR="00672FF2" w:rsidRPr="00672FF2" w:rsidRDefault="00672FF2" w:rsidP="00291AFB">
      <w:pPr>
        <w:jc w:val="both"/>
        <w:rPr>
          <w:rFonts w:ascii="Arial" w:eastAsia="Times New Roman" w:hAnsi="Arial" w:cs="Arial"/>
          <w:b/>
          <w:bCs/>
          <w:color w:val="000000"/>
          <w:sz w:val="20"/>
          <w:szCs w:val="20"/>
          <w:lang w:eastAsia="es-CR"/>
        </w:rPr>
      </w:pPr>
      <w:r w:rsidRPr="00672FF2">
        <w:rPr>
          <w:rFonts w:ascii="Arial" w:eastAsia="Times New Roman" w:hAnsi="Arial" w:cs="Arial"/>
          <w:b/>
          <w:bCs/>
          <w:color w:val="000000"/>
          <w:sz w:val="20"/>
          <w:szCs w:val="20"/>
          <w:lang w:eastAsia="es-CR"/>
        </w:rPr>
        <w:t>Indicador N°28 Porcentaje de avance en la gestión de financiamiento  para solicitar aprobación ante BANHVI de las viviendas, del Proyecto Finca Boschini.</w:t>
      </w:r>
    </w:p>
    <w:p w:rsidR="00672FF2" w:rsidRPr="00291AFB" w:rsidRDefault="00672FF2" w:rsidP="00291AFB">
      <w:pPr>
        <w:jc w:val="both"/>
        <w:rPr>
          <w:rFonts w:ascii="Arial" w:eastAsia="Times New Roman" w:hAnsi="Arial" w:cs="Arial"/>
          <w:bCs/>
          <w:color w:val="000000"/>
          <w:sz w:val="20"/>
          <w:szCs w:val="20"/>
          <w:lang w:eastAsia="es-CR"/>
        </w:rPr>
      </w:pPr>
      <w:r w:rsidRPr="00291AFB">
        <w:rPr>
          <w:rFonts w:ascii="Arial" w:eastAsia="Times New Roman" w:hAnsi="Arial" w:cs="Arial"/>
          <w:bCs/>
          <w:color w:val="000000"/>
          <w:sz w:val="20"/>
          <w:szCs w:val="20"/>
          <w:lang w:eastAsia="es-CR"/>
        </w:rPr>
        <w:t xml:space="preserve">Los indicadores no presentan avance porque la Municipalidad de Alajuelita no ha aprobado el desfogue pluvial, que es requisito indispensable solicitado por la Secretaría Técnica Nacional Ambiental (SETENA) para la aprobación de la viabilidad ambiental del proyecto completo. </w:t>
      </w:r>
    </w:p>
    <w:p w:rsidR="00672FF2" w:rsidRPr="00291AFB" w:rsidRDefault="00672FF2" w:rsidP="00291AFB">
      <w:pPr>
        <w:jc w:val="both"/>
        <w:rPr>
          <w:rFonts w:ascii="Arial" w:eastAsia="Times New Roman" w:hAnsi="Arial" w:cs="Arial"/>
          <w:bCs/>
          <w:color w:val="000000"/>
          <w:sz w:val="20"/>
          <w:szCs w:val="20"/>
          <w:lang w:eastAsia="es-CR"/>
        </w:rPr>
      </w:pPr>
      <w:r w:rsidRPr="00291AFB">
        <w:rPr>
          <w:rFonts w:ascii="Arial" w:eastAsia="Times New Roman" w:hAnsi="Arial" w:cs="Arial"/>
          <w:bCs/>
          <w:color w:val="000000"/>
          <w:sz w:val="20"/>
          <w:szCs w:val="20"/>
          <w:lang w:eastAsia="es-CR"/>
        </w:rPr>
        <w:t>Se han realizado diferentes reuniones con la Municipalidad de Alajuelita y la Comisión Nacional de Emergencias para encontrar una posible solución y continuar con el avance del proyecto.</w:t>
      </w:r>
    </w:p>
    <w:p w:rsidR="00672FF2" w:rsidRPr="00291AFB" w:rsidRDefault="00672FF2" w:rsidP="00291AFB">
      <w:pPr>
        <w:jc w:val="both"/>
        <w:rPr>
          <w:rFonts w:ascii="Arial" w:eastAsia="Times New Roman" w:hAnsi="Arial" w:cs="Arial"/>
          <w:bCs/>
          <w:color w:val="000000"/>
          <w:sz w:val="20"/>
          <w:szCs w:val="20"/>
          <w:lang w:eastAsia="es-CR"/>
        </w:rPr>
      </w:pPr>
      <w:r w:rsidRPr="00291AFB">
        <w:rPr>
          <w:rFonts w:ascii="Arial" w:eastAsia="Times New Roman" w:hAnsi="Arial" w:cs="Arial"/>
          <w:bCs/>
          <w:color w:val="000000"/>
          <w:sz w:val="20"/>
          <w:szCs w:val="20"/>
          <w:lang w:eastAsia="es-CR"/>
        </w:rPr>
        <w:t>Este proyecto se ubica en San Antonio de Alajuelita y la cantidad de soluciones habitacionales corresponde a 270.</w:t>
      </w:r>
    </w:p>
    <w:p w:rsidR="00672FF2" w:rsidRPr="00291AFB" w:rsidRDefault="00672FF2" w:rsidP="00291AFB">
      <w:pPr>
        <w:jc w:val="both"/>
        <w:rPr>
          <w:rFonts w:ascii="Arial" w:eastAsia="Times New Roman" w:hAnsi="Arial" w:cs="Arial"/>
          <w:bCs/>
          <w:color w:val="000000"/>
          <w:sz w:val="20"/>
          <w:szCs w:val="20"/>
          <w:lang w:eastAsia="es-CR"/>
        </w:rPr>
      </w:pPr>
    </w:p>
    <w:p w:rsidR="00672FF2" w:rsidRPr="00672FF2" w:rsidRDefault="00672FF2" w:rsidP="0028677A">
      <w:pPr>
        <w:spacing w:line="240" w:lineRule="auto"/>
        <w:rPr>
          <w:rFonts w:ascii="Arial" w:eastAsia="Times New Roman" w:hAnsi="Arial" w:cs="Arial"/>
          <w:b/>
          <w:bCs/>
          <w:color w:val="000000"/>
          <w:sz w:val="20"/>
          <w:szCs w:val="20"/>
          <w:lang w:eastAsia="es-CR"/>
        </w:rPr>
      </w:pPr>
      <w:r w:rsidRPr="00672FF2">
        <w:rPr>
          <w:rFonts w:ascii="Arial" w:eastAsia="Times New Roman" w:hAnsi="Arial" w:cs="Arial"/>
          <w:b/>
          <w:bCs/>
          <w:color w:val="000000"/>
          <w:sz w:val="20"/>
          <w:szCs w:val="20"/>
          <w:lang w:eastAsia="es-CR"/>
        </w:rPr>
        <w:br w:type="page"/>
      </w:r>
      <w:r w:rsidRPr="00672FF2">
        <w:rPr>
          <w:rFonts w:ascii="Arial" w:eastAsia="Times New Roman" w:hAnsi="Arial" w:cs="Arial"/>
          <w:b/>
          <w:bCs/>
          <w:color w:val="000000"/>
          <w:sz w:val="20"/>
          <w:szCs w:val="20"/>
          <w:lang w:eastAsia="es-CR"/>
        </w:rPr>
        <w:lastRenderedPageBreak/>
        <w:t>PROYECTO DUARCO-COCORÍ</w:t>
      </w:r>
    </w:p>
    <w:p w:rsidR="00672FF2" w:rsidRPr="00672FF2" w:rsidRDefault="00672FF2" w:rsidP="0028677A">
      <w:pPr>
        <w:spacing w:line="240" w:lineRule="auto"/>
        <w:rPr>
          <w:rFonts w:ascii="Arial" w:eastAsia="Times New Roman" w:hAnsi="Arial" w:cs="Arial"/>
          <w:b/>
          <w:bCs/>
          <w:color w:val="000000"/>
          <w:sz w:val="20"/>
          <w:szCs w:val="20"/>
          <w:lang w:eastAsia="es-CR"/>
        </w:rPr>
      </w:pPr>
      <w:r w:rsidRPr="00672FF2">
        <w:rPr>
          <w:rFonts w:ascii="Arial" w:eastAsia="Times New Roman" w:hAnsi="Arial" w:cs="Arial"/>
          <w:b/>
          <w:bCs/>
          <w:color w:val="000000"/>
          <w:sz w:val="20"/>
          <w:szCs w:val="20"/>
          <w:lang w:eastAsia="es-CR"/>
        </w:rPr>
        <w:t>Indicador N°29 Porcentaje de avance en la etapa de preinversión del Bono Comunal</w:t>
      </w:r>
    </w:p>
    <w:p w:rsidR="00672FF2" w:rsidRPr="00291AFB" w:rsidRDefault="00672FF2" w:rsidP="0028677A">
      <w:pPr>
        <w:spacing w:line="240" w:lineRule="auto"/>
        <w:jc w:val="both"/>
        <w:rPr>
          <w:rFonts w:ascii="Arial" w:eastAsia="Times New Roman" w:hAnsi="Arial" w:cs="Arial"/>
          <w:bCs/>
          <w:color w:val="000000"/>
          <w:sz w:val="20"/>
          <w:szCs w:val="20"/>
          <w:lang w:eastAsia="es-CR"/>
        </w:rPr>
      </w:pPr>
      <w:r w:rsidRPr="00291AFB">
        <w:rPr>
          <w:rFonts w:ascii="Arial" w:eastAsia="Times New Roman" w:hAnsi="Arial" w:cs="Arial"/>
          <w:bCs/>
          <w:color w:val="000000"/>
          <w:sz w:val="20"/>
          <w:szCs w:val="20"/>
          <w:lang w:eastAsia="es-CR"/>
        </w:rPr>
        <w:t xml:space="preserve">A diciembre la etapa de preinversión muestra un avance de un 45% de la meta anual, establecida en un 100%, porque se </w:t>
      </w:r>
      <w:r w:rsidR="00291AFB" w:rsidRPr="00291AFB">
        <w:rPr>
          <w:rFonts w:ascii="Arial" w:eastAsia="Times New Roman" w:hAnsi="Arial" w:cs="Arial"/>
          <w:bCs/>
          <w:color w:val="000000"/>
          <w:sz w:val="20"/>
          <w:szCs w:val="20"/>
          <w:lang w:eastAsia="es-CR"/>
        </w:rPr>
        <w:t>continúa</w:t>
      </w:r>
      <w:r w:rsidRPr="00291AFB">
        <w:rPr>
          <w:rFonts w:ascii="Arial" w:eastAsia="Times New Roman" w:hAnsi="Arial" w:cs="Arial"/>
          <w:bCs/>
          <w:color w:val="000000"/>
          <w:sz w:val="20"/>
          <w:szCs w:val="20"/>
          <w:lang w:eastAsia="es-CR"/>
        </w:rPr>
        <w:t xml:space="preserve"> con el acercamiento a las Municipalidades de El </w:t>
      </w:r>
      <w:r w:rsidR="00291AFB" w:rsidRPr="00291AFB">
        <w:rPr>
          <w:rFonts w:ascii="Arial" w:eastAsia="Times New Roman" w:hAnsi="Arial" w:cs="Arial"/>
          <w:bCs/>
          <w:color w:val="000000"/>
          <w:sz w:val="20"/>
          <w:szCs w:val="20"/>
          <w:lang w:eastAsia="es-CR"/>
        </w:rPr>
        <w:t>G</w:t>
      </w:r>
      <w:r w:rsidRPr="00291AFB">
        <w:rPr>
          <w:rFonts w:ascii="Arial" w:eastAsia="Times New Roman" w:hAnsi="Arial" w:cs="Arial"/>
          <w:bCs/>
          <w:color w:val="000000"/>
          <w:sz w:val="20"/>
          <w:szCs w:val="20"/>
          <w:lang w:eastAsia="es-CR"/>
        </w:rPr>
        <w:t xml:space="preserve">uarco y Cartago para realizar el proceso de segregación.                                 </w:t>
      </w:r>
    </w:p>
    <w:tbl>
      <w:tblPr>
        <w:tblW w:w="9836" w:type="dxa"/>
        <w:tblBorders>
          <w:insideH w:val="single" w:sz="6" w:space="0" w:color="000000"/>
          <w:insideV w:val="single" w:sz="6" w:space="0" w:color="000000"/>
        </w:tblBorders>
        <w:tblLook w:val="04A0" w:firstRow="1" w:lastRow="0" w:firstColumn="1" w:lastColumn="0" w:noHBand="0" w:noVBand="1"/>
      </w:tblPr>
      <w:tblGrid>
        <w:gridCol w:w="4639"/>
        <w:gridCol w:w="5197"/>
      </w:tblGrid>
      <w:tr w:rsidR="00672FF2" w:rsidRPr="00672FF2" w:rsidTr="00291AFB">
        <w:trPr>
          <w:trHeight w:val="692"/>
        </w:trPr>
        <w:tc>
          <w:tcPr>
            <w:tcW w:w="5000" w:type="pct"/>
            <w:gridSpan w:val="2"/>
            <w:shd w:val="clear" w:color="auto" w:fill="auto"/>
            <w:noWrap/>
            <w:hideMark/>
          </w:tcPr>
          <w:p w:rsidR="00291AFB" w:rsidRDefault="00672FF2" w:rsidP="0028677A">
            <w:pPr>
              <w:spacing w:line="240" w:lineRule="auto"/>
              <w:jc w:val="both"/>
              <w:rPr>
                <w:rFonts w:ascii="Arial" w:eastAsia="Times New Roman" w:hAnsi="Arial" w:cs="Arial"/>
                <w:bCs/>
                <w:color w:val="000000"/>
                <w:sz w:val="20"/>
                <w:szCs w:val="20"/>
                <w:lang w:eastAsia="es-CR"/>
              </w:rPr>
            </w:pPr>
            <w:r w:rsidRPr="00291AFB">
              <w:rPr>
                <w:rFonts w:ascii="Arial" w:eastAsia="Times New Roman" w:hAnsi="Arial" w:cs="Arial"/>
                <w:bCs/>
                <w:color w:val="000000"/>
                <w:sz w:val="20"/>
                <w:szCs w:val="20"/>
                <w:lang w:eastAsia="es-CR"/>
              </w:rPr>
              <w:t>Seguidamente se muestra un detalle de lo actuado:</w:t>
            </w:r>
          </w:p>
          <w:p w:rsidR="00672FF2" w:rsidRPr="00672FF2" w:rsidRDefault="00672FF2" w:rsidP="0028677A">
            <w:pPr>
              <w:spacing w:line="240" w:lineRule="auto"/>
              <w:jc w:val="center"/>
              <w:rPr>
                <w:rFonts w:ascii="Arial" w:eastAsia="Times New Roman" w:hAnsi="Arial" w:cs="Arial"/>
                <w:b/>
                <w:bCs/>
                <w:color w:val="000000"/>
                <w:sz w:val="20"/>
                <w:szCs w:val="20"/>
                <w:lang w:eastAsia="es-CR"/>
              </w:rPr>
            </w:pPr>
            <w:r w:rsidRPr="00672FF2">
              <w:rPr>
                <w:rFonts w:ascii="Arial" w:eastAsia="Times New Roman" w:hAnsi="Arial" w:cs="Arial"/>
                <w:b/>
                <w:bCs/>
                <w:color w:val="000000"/>
                <w:sz w:val="20"/>
                <w:szCs w:val="20"/>
                <w:lang w:eastAsia="es-CR"/>
              </w:rPr>
              <w:t>Tabla 24 Acciones Realizadas</w:t>
            </w:r>
          </w:p>
        </w:tc>
      </w:tr>
      <w:tr w:rsidR="00672FF2" w:rsidRPr="00672FF2" w:rsidTr="00291AFB">
        <w:trPr>
          <w:trHeight w:val="731"/>
        </w:trPr>
        <w:tc>
          <w:tcPr>
            <w:tcW w:w="2358" w:type="pct"/>
            <w:shd w:val="clear" w:color="auto" w:fill="auto"/>
            <w:hideMark/>
          </w:tcPr>
          <w:p w:rsidR="00672FF2" w:rsidRPr="00672FF2" w:rsidRDefault="00672FF2" w:rsidP="00672FF2">
            <w:pPr>
              <w:rPr>
                <w:rFonts w:ascii="Arial" w:eastAsia="Times New Roman" w:hAnsi="Arial" w:cs="Arial"/>
                <w:b/>
                <w:bCs/>
                <w:color w:val="000000"/>
                <w:sz w:val="20"/>
                <w:szCs w:val="20"/>
                <w:lang w:eastAsia="es-CR"/>
              </w:rPr>
            </w:pPr>
            <w:r w:rsidRPr="00672FF2">
              <w:rPr>
                <w:rFonts w:ascii="Arial" w:eastAsia="Times New Roman" w:hAnsi="Arial" w:cs="Arial"/>
                <w:b/>
                <w:bCs/>
                <w:color w:val="000000"/>
                <w:sz w:val="20"/>
                <w:szCs w:val="20"/>
                <w:lang w:eastAsia="es-CR"/>
              </w:rPr>
              <w:t>a) Actividades realizadas:</w:t>
            </w:r>
          </w:p>
        </w:tc>
        <w:tc>
          <w:tcPr>
            <w:tcW w:w="2642" w:type="pct"/>
            <w:shd w:val="clear" w:color="auto" w:fill="auto"/>
          </w:tcPr>
          <w:p w:rsidR="00672FF2" w:rsidRPr="00291AFB" w:rsidRDefault="00672FF2" w:rsidP="00291AFB">
            <w:pPr>
              <w:spacing w:after="0" w:line="240" w:lineRule="auto"/>
              <w:jc w:val="both"/>
              <w:rPr>
                <w:rFonts w:ascii="Arial" w:eastAsia="Times New Roman" w:hAnsi="Arial" w:cs="Arial"/>
                <w:bCs/>
                <w:sz w:val="20"/>
                <w:szCs w:val="20"/>
                <w:lang w:eastAsia="es-CR"/>
              </w:rPr>
            </w:pPr>
            <w:r w:rsidRPr="00291AFB">
              <w:rPr>
                <w:rFonts w:ascii="Arial" w:eastAsia="Times New Roman" w:hAnsi="Arial" w:cs="Arial"/>
                <w:bCs/>
                <w:sz w:val="20"/>
                <w:szCs w:val="20"/>
                <w:lang w:eastAsia="es-CR"/>
              </w:rPr>
              <w:t>- Se realizaron talleres participativos para el levantamiento de las necesidades de las comunidades. En esta actividad participó la comunidad y las siguientes instituciones: Centro de atención institucional Cocorí, Centro Adulto Mayor de Cocorí, Comedor infantil Sinaí, Municipalidades y escuelas, de Cartago y El Guarco.</w:t>
            </w:r>
          </w:p>
          <w:p w:rsidR="00672FF2" w:rsidRPr="00291AFB" w:rsidRDefault="00672FF2" w:rsidP="00291AFB">
            <w:pPr>
              <w:spacing w:after="0" w:line="240" w:lineRule="auto"/>
              <w:jc w:val="both"/>
              <w:rPr>
                <w:rFonts w:ascii="Arial" w:eastAsia="Times New Roman" w:hAnsi="Arial" w:cs="Arial"/>
                <w:bCs/>
                <w:sz w:val="20"/>
                <w:szCs w:val="20"/>
                <w:lang w:eastAsia="es-CR"/>
              </w:rPr>
            </w:pPr>
            <w:r w:rsidRPr="00291AFB">
              <w:rPr>
                <w:rFonts w:ascii="Arial" w:eastAsia="Times New Roman" w:hAnsi="Arial" w:cs="Arial"/>
                <w:bCs/>
                <w:sz w:val="20"/>
                <w:szCs w:val="20"/>
                <w:lang w:eastAsia="es-CR"/>
              </w:rPr>
              <w:t>- Se elaboró el diseño de sitio del parque lineal donde se pretende realizar la inversión de los recursos del  bono comunal.</w:t>
            </w:r>
          </w:p>
          <w:p w:rsidR="00672FF2" w:rsidRPr="00291AFB" w:rsidRDefault="00672FF2" w:rsidP="00291AFB">
            <w:pPr>
              <w:spacing w:after="0" w:line="240" w:lineRule="auto"/>
              <w:jc w:val="both"/>
              <w:rPr>
                <w:rFonts w:ascii="Arial" w:eastAsia="Times New Roman" w:hAnsi="Arial" w:cs="Arial"/>
                <w:bCs/>
                <w:sz w:val="20"/>
                <w:szCs w:val="20"/>
                <w:lang w:eastAsia="es-CR"/>
              </w:rPr>
            </w:pPr>
            <w:r w:rsidRPr="00291AFB">
              <w:rPr>
                <w:rFonts w:ascii="Arial" w:eastAsia="Times New Roman" w:hAnsi="Arial" w:cs="Arial"/>
                <w:bCs/>
                <w:sz w:val="20"/>
                <w:szCs w:val="20"/>
                <w:lang w:eastAsia="es-CR"/>
              </w:rPr>
              <w:t>- Se elaboró el anteproyecto de las obras a desarrollar con los recursos del  bono comunal y se efectuó modificación en el diseño del sector este.</w:t>
            </w:r>
          </w:p>
          <w:p w:rsidR="00672FF2" w:rsidRPr="00291AFB" w:rsidRDefault="00672FF2" w:rsidP="00291AFB">
            <w:pPr>
              <w:spacing w:after="0" w:line="240" w:lineRule="auto"/>
              <w:jc w:val="both"/>
              <w:rPr>
                <w:rFonts w:ascii="Arial" w:eastAsia="Times New Roman" w:hAnsi="Arial" w:cs="Arial"/>
                <w:bCs/>
                <w:sz w:val="20"/>
                <w:szCs w:val="20"/>
                <w:lang w:eastAsia="es-CR"/>
              </w:rPr>
            </w:pPr>
            <w:r w:rsidRPr="00291AFB">
              <w:rPr>
                <w:rFonts w:ascii="Arial" w:eastAsia="Times New Roman" w:hAnsi="Arial" w:cs="Arial"/>
                <w:bCs/>
                <w:sz w:val="20"/>
                <w:szCs w:val="20"/>
                <w:lang w:eastAsia="es-CR"/>
              </w:rPr>
              <w:t xml:space="preserve">- Se realizó una visita al sitio donde están construyendo la clínica para personas adultas mayores con padecimientos mentales (proyecto de la Municipalidad de Cartago), para identificar los requerimientos físicos de esa población. </w:t>
            </w:r>
          </w:p>
          <w:p w:rsidR="00672FF2" w:rsidRPr="00291AFB" w:rsidRDefault="00672FF2" w:rsidP="00291AFB">
            <w:pPr>
              <w:spacing w:after="0" w:line="240" w:lineRule="auto"/>
              <w:jc w:val="both"/>
              <w:rPr>
                <w:rFonts w:ascii="Arial" w:eastAsia="Times New Roman" w:hAnsi="Arial" w:cs="Arial"/>
                <w:bCs/>
                <w:sz w:val="20"/>
                <w:szCs w:val="20"/>
                <w:lang w:eastAsia="es-CR"/>
              </w:rPr>
            </w:pPr>
            <w:r w:rsidRPr="00291AFB">
              <w:rPr>
                <w:rFonts w:ascii="Arial" w:eastAsia="Times New Roman" w:hAnsi="Arial" w:cs="Arial"/>
                <w:bCs/>
                <w:sz w:val="20"/>
                <w:szCs w:val="20"/>
                <w:lang w:eastAsia="es-CR"/>
              </w:rPr>
              <w:t xml:space="preserve">- Se realizaron varias reuniones con el presidente de Fundación Alzheimer de Costa Rica, para analizar la posibilidad de incluir en el diseño del parque, un área </w:t>
            </w:r>
            <w:r w:rsidR="00291AFB">
              <w:rPr>
                <w:rFonts w:ascii="Arial" w:eastAsia="Times New Roman" w:hAnsi="Arial" w:cs="Arial"/>
                <w:bCs/>
                <w:sz w:val="20"/>
                <w:szCs w:val="20"/>
                <w:lang w:eastAsia="es-CR"/>
              </w:rPr>
              <w:t xml:space="preserve">   </w:t>
            </w:r>
            <w:r w:rsidRPr="00291AFB">
              <w:rPr>
                <w:rFonts w:ascii="Arial" w:eastAsia="Times New Roman" w:hAnsi="Arial" w:cs="Arial"/>
                <w:bCs/>
                <w:sz w:val="20"/>
                <w:szCs w:val="20"/>
                <w:lang w:eastAsia="es-CR"/>
              </w:rPr>
              <w:t>(al aire libre) para esa población, que permita la vinculación directa tanto física como funcional, para promover el uso del espacio público.</w:t>
            </w:r>
          </w:p>
          <w:p w:rsidR="00672FF2" w:rsidRPr="00291AFB" w:rsidRDefault="00672FF2" w:rsidP="00291AFB">
            <w:pPr>
              <w:spacing w:after="0" w:line="240" w:lineRule="auto"/>
              <w:jc w:val="both"/>
              <w:rPr>
                <w:rFonts w:ascii="Arial" w:eastAsia="Times New Roman" w:hAnsi="Arial" w:cs="Arial"/>
                <w:bCs/>
                <w:sz w:val="20"/>
                <w:szCs w:val="20"/>
                <w:lang w:eastAsia="es-CR"/>
              </w:rPr>
            </w:pPr>
            <w:r w:rsidRPr="00291AFB">
              <w:rPr>
                <w:rFonts w:ascii="Arial" w:eastAsia="Times New Roman" w:hAnsi="Arial" w:cs="Arial"/>
                <w:bCs/>
                <w:sz w:val="20"/>
                <w:szCs w:val="20"/>
                <w:lang w:eastAsia="es-CR"/>
              </w:rPr>
              <w:t>- Se elaboró un mosaico de catastro con los bloques que conforman el proyecto de vivienda, para analizar en detalle todas las segregaciones que se deben generar.</w:t>
            </w:r>
          </w:p>
          <w:p w:rsidR="00672FF2" w:rsidRPr="00291AFB" w:rsidRDefault="00672FF2" w:rsidP="00291AFB">
            <w:pPr>
              <w:spacing w:after="0" w:line="240" w:lineRule="auto"/>
              <w:jc w:val="both"/>
              <w:rPr>
                <w:rFonts w:ascii="Arial" w:eastAsia="Times New Roman" w:hAnsi="Arial" w:cs="Arial"/>
                <w:bCs/>
                <w:sz w:val="20"/>
                <w:szCs w:val="20"/>
                <w:lang w:eastAsia="es-CR"/>
              </w:rPr>
            </w:pPr>
            <w:r w:rsidRPr="00291AFB">
              <w:rPr>
                <w:rFonts w:ascii="Arial" w:eastAsia="Times New Roman" w:hAnsi="Arial" w:cs="Arial"/>
                <w:bCs/>
                <w:sz w:val="20"/>
                <w:szCs w:val="20"/>
                <w:lang w:eastAsia="es-CR"/>
              </w:rPr>
              <w:t>- Se inició el presupuesto global de las obras del parque lineal.</w:t>
            </w:r>
          </w:p>
        </w:tc>
      </w:tr>
      <w:tr w:rsidR="00672FF2" w:rsidRPr="00672FF2" w:rsidTr="00291AFB">
        <w:trPr>
          <w:trHeight w:val="624"/>
        </w:trPr>
        <w:tc>
          <w:tcPr>
            <w:tcW w:w="2358" w:type="pct"/>
            <w:shd w:val="clear" w:color="auto" w:fill="auto"/>
            <w:hideMark/>
          </w:tcPr>
          <w:p w:rsidR="00672FF2" w:rsidRPr="00672FF2" w:rsidRDefault="00672FF2" w:rsidP="00672FF2">
            <w:pPr>
              <w:rPr>
                <w:rFonts w:ascii="Arial" w:eastAsia="Times New Roman" w:hAnsi="Arial" w:cs="Arial"/>
                <w:b/>
                <w:bCs/>
                <w:color w:val="000000"/>
                <w:sz w:val="20"/>
                <w:szCs w:val="20"/>
                <w:lang w:eastAsia="es-CR"/>
              </w:rPr>
            </w:pPr>
            <w:r w:rsidRPr="00672FF2">
              <w:rPr>
                <w:rFonts w:ascii="Arial" w:eastAsia="Times New Roman" w:hAnsi="Arial" w:cs="Arial"/>
                <w:b/>
                <w:bCs/>
                <w:color w:val="000000"/>
                <w:sz w:val="20"/>
                <w:szCs w:val="20"/>
                <w:lang w:eastAsia="es-CR"/>
              </w:rPr>
              <w:t xml:space="preserve">b) Limitaciones: </w:t>
            </w:r>
          </w:p>
        </w:tc>
        <w:tc>
          <w:tcPr>
            <w:tcW w:w="2642" w:type="pct"/>
            <w:shd w:val="clear" w:color="auto" w:fill="auto"/>
          </w:tcPr>
          <w:p w:rsidR="00672FF2" w:rsidRPr="00291AFB" w:rsidRDefault="00672FF2" w:rsidP="00291AFB">
            <w:pPr>
              <w:spacing w:after="0" w:line="240" w:lineRule="auto"/>
              <w:jc w:val="both"/>
              <w:rPr>
                <w:rFonts w:ascii="Arial" w:eastAsia="Times New Roman" w:hAnsi="Arial" w:cs="Arial"/>
                <w:bCs/>
                <w:sz w:val="20"/>
                <w:szCs w:val="20"/>
                <w:lang w:eastAsia="es-CR"/>
              </w:rPr>
            </w:pPr>
            <w:r w:rsidRPr="00291AFB">
              <w:rPr>
                <w:rFonts w:ascii="Arial" w:eastAsia="Times New Roman" w:hAnsi="Arial" w:cs="Arial"/>
                <w:bCs/>
                <w:sz w:val="20"/>
                <w:szCs w:val="20"/>
                <w:lang w:eastAsia="es-CR"/>
              </w:rPr>
              <w:t>Urbanizar las cuatro etapas del proyecto de vivienda, en forma previa a segregar los terrenos donde se ubican las obras del bono comunal.</w:t>
            </w:r>
          </w:p>
        </w:tc>
      </w:tr>
      <w:tr w:rsidR="00672FF2" w:rsidRPr="00672FF2" w:rsidTr="00291AFB">
        <w:trPr>
          <w:trHeight w:val="417"/>
        </w:trPr>
        <w:tc>
          <w:tcPr>
            <w:tcW w:w="2358" w:type="pct"/>
            <w:shd w:val="clear" w:color="auto" w:fill="auto"/>
            <w:hideMark/>
          </w:tcPr>
          <w:p w:rsidR="00672FF2" w:rsidRPr="00672FF2" w:rsidRDefault="00672FF2" w:rsidP="00672FF2">
            <w:pPr>
              <w:rPr>
                <w:rFonts w:ascii="Arial" w:eastAsia="Times New Roman" w:hAnsi="Arial" w:cs="Arial"/>
                <w:b/>
                <w:bCs/>
                <w:color w:val="000000"/>
                <w:sz w:val="20"/>
                <w:szCs w:val="20"/>
                <w:lang w:eastAsia="es-CR"/>
              </w:rPr>
            </w:pPr>
            <w:r w:rsidRPr="00672FF2">
              <w:rPr>
                <w:rFonts w:ascii="Arial" w:eastAsia="Times New Roman" w:hAnsi="Arial" w:cs="Arial"/>
                <w:b/>
                <w:bCs/>
                <w:color w:val="000000"/>
                <w:sz w:val="20"/>
                <w:szCs w:val="20"/>
                <w:lang w:eastAsia="es-CR"/>
              </w:rPr>
              <w:t>c) Medidas correctivas o acciones de mejora (realizadas y por realizar) para el logro de la meta:</w:t>
            </w:r>
          </w:p>
        </w:tc>
        <w:tc>
          <w:tcPr>
            <w:tcW w:w="2642" w:type="pct"/>
            <w:shd w:val="clear" w:color="auto" w:fill="auto"/>
          </w:tcPr>
          <w:p w:rsidR="00672FF2" w:rsidRPr="00291AFB" w:rsidRDefault="00672FF2" w:rsidP="00291AFB">
            <w:pPr>
              <w:spacing w:after="0" w:line="240" w:lineRule="auto"/>
              <w:jc w:val="both"/>
              <w:rPr>
                <w:rFonts w:ascii="Arial" w:eastAsia="Times New Roman" w:hAnsi="Arial" w:cs="Arial"/>
                <w:bCs/>
                <w:sz w:val="20"/>
                <w:szCs w:val="20"/>
                <w:lang w:eastAsia="es-CR"/>
              </w:rPr>
            </w:pPr>
            <w:r w:rsidRPr="00291AFB">
              <w:rPr>
                <w:rFonts w:ascii="Arial" w:eastAsia="Times New Roman" w:hAnsi="Arial" w:cs="Arial"/>
                <w:bCs/>
                <w:sz w:val="20"/>
                <w:szCs w:val="20"/>
                <w:lang w:eastAsia="es-CR"/>
              </w:rPr>
              <w:t>Coordinación con las Municipalidades involucradas la forma de agilizar la segregación de los terrenos.</w:t>
            </w:r>
          </w:p>
        </w:tc>
      </w:tr>
      <w:tr w:rsidR="00672FF2" w:rsidRPr="00672FF2" w:rsidTr="00291AFB">
        <w:trPr>
          <w:trHeight w:val="306"/>
        </w:trPr>
        <w:tc>
          <w:tcPr>
            <w:tcW w:w="2358" w:type="pct"/>
            <w:shd w:val="clear" w:color="auto" w:fill="auto"/>
          </w:tcPr>
          <w:p w:rsidR="00672FF2" w:rsidRPr="00672FF2" w:rsidRDefault="00672FF2" w:rsidP="00672FF2">
            <w:pPr>
              <w:rPr>
                <w:rFonts w:ascii="Arial" w:eastAsia="Times New Roman" w:hAnsi="Arial" w:cs="Arial"/>
                <w:b/>
                <w:bCs/>
                <w:color w:val="000000"/>
                <w:sz w:val="20"/>
                <w:szCs w:val="20"/>
                <w:lang w:eastAsia="es-CR"/>
              </w:rPr>
            </w:pPr>
            <w:r w:rsidRPr="00672FF2">
              <w:rPr>
                <w:rFonts w:ascii="Arial" w:eastAsia="Times New Roman" w:hAnsi="Arial" w:cs="Arial"/>
                <w:b/>
                <w:bCs/>
                <w:color w:val="000000"/>
                <w:sz w:val="20"/>
                <w:szCs w:val="20"/>
                <w:lang w:eastAsia="es-CR"/>
              </w:rPr>
              <w:t>Observaciones:</w:t>
            </w:r>
          </w:p>
        </w:tc>
        <w:tc>
          <w:tcPr>
            <w:tcW w:w="2642" w:type="pct"/>
            <w:shd w:val="clear" w:color="auto" w:fill="auto"/>
          </w:tcPr>
          <w:p w:rsidR="00672FF2" w:rsidRPr="00291AFB" w:rsidRDefault="00672FF2" w:rsidP="00291AFB">
            <w:pPr>
              <w:spacing w:after="0" w:line="240" w:lineRule="auto"/>
              <w:jc w:val="both"/>
              <w:rPr>
                <w:rFonts w:ascii="Arial" w:eastAsia="Times New Roman" w:hAnsi="Arial" w:cs="Arial"/>
                <w:bCs/>
                <w:sz w:val="20"/>
                <w:szCs w:val="20"/>
                <w:lang w:eastAsia="es-CR"/>
              </w:rPr>
            </w:pPr>
            <w:r w:rsidRPr="00291AFB">
              <w:rPr>
                <w:rFonts w:ascii="Arial" w:eastAsia="Times New Roman" w:hAnsi="Arial" w:cs="Arial"/>
                <w:bCs/>
                <w:sz w:val="20"/>
                <w:szCs w:val="20"/>
                <w:lang w:eastAsia="es-CR"/>
              </w:rPr>
              <w:t>- Este proyecto se ubica en Cartago.</w:t>
            </w:r>
          </w:p>
        </w:tc>
      </w:tr>
    </w:tbl>
    <w:p w:rsidR="00672FF2" w:rsidRPr="00291AFB" w:rsidRDefault="00672FF2" w:rsidP="00672FF2">
      <w:pPr>
        <w:rPr>
          <w:rFonts w:ascii="Arial" w:eastAsia="Times New Roman" w:hAnsi="Arial" w:cs="Arial"/>
          <w:bCs/>
          <w:color w:val="000000"/>
          <w:sz w:val="18"/>
          <w:szCs w:val="18"/>
          <w:lang w:eastAsia="es-CR"/>
        </w:rPr>
      </w:pPr>
      <w:r w:rsidRPr="00291AFB">
        <w:rPr>
          <w:rFonts w:ascii="Arial" w:eastAsia="Times New Roman" w:hAnsi="Arial" w:cs="Arial"/>
          <w:bCs/>
          <w:color w:val="000000"/>
          <w:sz w:val="18"/>
          <w:szCs w:val="18"/>
          <w:lang w:eastAsia="es-CR"/>
        </w:rPr>
        <w:t>Nota Fuente: Informe de rendimiento de cuentas de área. (2017)</w:t>
      </w:r>
    </w:p>
    <w:p w:rsidR="00672FF2" w:rsidRPr="00291AFB" w:rsidRDefault="00672FF2" w:rsidP="00291AFB">
      <w:pPr>
        <w:spacing w:after="0" w:line="240" w:lineRule="auto"/>
        <w:jc w:val="both"/>
        <w:rPr>
          <w:rFonts w:ascii="Arial" w:eastAsia="Times New Roman" w:hAnsi="Arial" w:cs="Arial"/>
          <w:b/>
          <w:sz w:val="20"/>
          <w:szCs w:val="20"/>
          <w:lang w:eastAsia="es-ES"/>
        </w:rPr>
      </w:pPr>
      <w:r w:rsidRPr="00291AFB">
        <w:rPr>
          <w:rFonts w:ascii="Arial" w:eastAsia="Times New Roman" w:hAnsi="Arial" w:cs="Arial"/>
          <w:b/>
          <w:sz w:val="20"/>
          <w:szCs w:val="20"/>
          <w:lang w:eastAsia="es-ES"/>
        </w:rPr>
        <w:lastRenderedPageBreak/>
        <w:t>Indicador N°30 Porcentaje de avance en la gestión de financiamiento  para solicitar aprobación ante BANHVI de las viviendas</w:t>
      </w:r>
    </w:p>
    <w:p w:rsidR="00672FF2" w:rsidRPr="00291AFB" w:rsidRDefault="00672FF2" w:rsidP="00291AFB">
      <w:pPr>
        <w:spacing w:after="0" w:line="240" w:lineRule="auto"/>
        <w:jc w:val="both"/>
        <w:rPr>
          <w:rFonts w:ascii="Arial" w:eastAsia="Times New Roman" w:hAnsi="Arial" w:cs="Arial"/>
          <w:b/>
          <w:sz w:val="20"/>
          <w:szCs w:val="20"/>
          <w:lang w:eastAsia="es-ES"/>
        </w:rPr>
      </w:pPr>
    </w:p>
    <w:p w:rsidR="00672FF2" w:rsidRPr="00291AFB" w:rsidRDefault="00672FF2" w:rsidP="00291AFB">
      <w:pPr>
        <w:spacing w:after="0" w:line="240" w:lineRule="auto"/>
        <w:jc w:val="both"/>
        <w:rPr>
          <w:rFonts w:ascii="Arial" w:eastAsia="Times New Roman" w:hAnsi="Arial" w:cs="Arial"/>
          <w:sz w:val="20"/>
          <w:szCs w:val="20"/>
          <w:lang w:eastAsia="es-ES"/>
        </w:rPr>
      </w:pPr>
      <w:r w:rsidRPr="00291AFB">
        <w:rPr>
          <w:rFonts w:ascii="Arial" w:eastAsia="Times New Roman" w:hAnsi="Arial" w:cs="Arial"/>
          <w:sz w:val="20"/>
          <w:szCs w:val="20"/>
          <w:lang w:eastAsia="es-ES"/>
        </w:rPr>
        <w:t>A diciembre el avance en la gestión de financiamiento es de un 40% de la meta anual, establecida en un 100%. Lo anterior porque se tuvieron que realizar cambios a nivel de diseño para ajustar la propuesta a la figura de Conjunto Residencial. El proyecto se logró presentar ante el CFIA, para tramitar el visado de los planos constructivos.</w:t>
      </w:r>
    </w:p>
    <w:p w:rsidR="00672FF2" w:rsidRPr="00291AFB" w:rsidRDefault="00672FF2" w:rsidP="00291AFB">
      <w:pPr>
        <w:spacing w:after="0" w:line="240" w:lineRule="auto"/>
        <w:jc w:val="both"/>
        <w:rPr>
          <w:rFonts w:ascii="Arial" w:eastAsia="Times New Roman" w:hAnsi="Arial" w:cs="Arial"/>
          <w:sz w:val="20"/>
          <w:szCs w:val="20"/>
          <w:lang w:eastAsia="es-ES"/>
        </w:rPr>
      </w:pPr>
    </w:p>
    <w:p w:rsidR="00672FF2" w:rsidRPr="00291AFB" w:rsidRDefault="00672FF2" w:rsidP="00291AFB">
      <w:pPr>
        <w:spacing w:after="0" w:line="240" w:lineRule="auto"/>
        <w:jc w:val="both"/>
        <w:rPr>
          <w:rFonts w:ascii="Arial" w:eastAsia="Times New Roman" w:hAnsi="Arial" w:cs="Arial"/>
          <w:sz w:val="20"/>
          <w:szCs w:val="20"/>
          <w:lang w:eastAsia="es-ES"/>
        </w:rPr>
      </w:pPr>
      <w:r w:rsidRPr="00291AFB">
        <w:rPr>
          <w:rFonts w:ascii="Arial" w:eastAsia="Times New Roman" w:hAnsi="Arial" w:cs="Arial"/>
          <w:sz w:val="20"/>
          <w:szCs w:val="20"/>
          <w:lang w:eastAsia="es-ES"/>
        </w:rPr>
        <w:t>Seguidamente se muestra un detalle de lo actuado:</w:t>
      </w:r>
    </w:p>
    <w:tbl>
      <w:tblPr>
        <w:tblW w:w="9470" w:type="dxa"/>
        <w:tblBorders>
          <w:insideH w:val="single" w:sz="6" w:space="0" w:color="000000"/>
          <w:insideV w:val="single" w:sz="6" w:space="0" w:color="000000"/>
        </w:tblBorders>
        <w:tblLook w:val="04A0" w:firstRow="1" w:lastRow="0" w:firstColumn="1" w:lastColumn="0" w:noHBand="0" w:noVBand="1"/>
      </w:tblPr>
      <w:tblGrid>
        <w:gridCol w:w="4466"/>
        <w:gridCol w:w="5004"/>
      </w:tblGrid>
      <w:tr w:rsidR="00672FF2" w:rsidRPr="00291AFB" w:rsidTr="00FD1645">
        <w:trPr>
          <w:trHeight w:val="256"/>
        </w:trPr>
        <w:tc>
          <w:tcPr>
            <w:tcW w:w="5000" w:type="pct"/>
            <w:gridSpan w:val="2"/>
            <w:shd w:val="clear" w:color="auto" w:fill="auto"/>
            <w:noWrap/>
            <w:hideMark/>
          </w:tcPr>
          <w:p w:rsidR="00672FF2" w:rsidRPr="00291AFB" w:rsidRDefault="00672FF2" w:rsidP="00291AFB">
            <w:pPr>
              <w:spacing w:after="0" w:line="240" w:lineRule="auto"/>
              <w:jc w:val="both"/>
              <w:rPr>
                <w:rFonts w:ascii="Arial" w:eastAsia="Times New Roman" w:hAnsi="Arial" w:cs="Arial"/>
                <w:b/>
                <w:sz w:val="20"/>
                <w:szCs w:val="20"/>
                <w:lang w:eastAsia="es-ES"/>
              </w:rPr>
            </w:pPr>
          </w:p>
          <w:p w:rsidR="00672FF2" w:rsidRPr="00291AFB" w:rsidRDefault="00672FF2" w:rsidP="00291AFB">
            <w:pPr>
              <w:spacing w:after="0" w:line="240" w:lineRule="auto"/>
              <w:jc w:val="center"/>
              <w:rPr>
                <w:rFonts w:ascii="Arial" w:eastAsia="Times New Roman" w:hAnsi="Arial" w:cs="Arial"/>
                <w:b/>
                <w:sz w:val="20"/>
                <w:szCs w:val="20"/>
                <w:lang w:eastAsia="es-ES"/>
              </w:rPr>
            </w:pPr>
            <w:r w:rsidRPr="00291AFB">
              <w:rPr>
                <w:rFonts w:ascii="Arial" w:eastAsia="Times New Roman" w:hAnsi="Arial" w:cs="Arial"/>
                <w:b/>
                <w:sz w:val="20"/>
                <w:szCs w:val="20"/>
                <w:lang w:eastAsia="es-ES"/>
              </w:rPr>
              <w:t>Tabla 25 Acciones Realizadas</w:t>
            </w:r>
          </w:p>
        </w:tc>
      </w:tr>
      <w:tr w:rsidR="00672FF2" w:rsidRPr="00291AFB" w:rsidTr="00FD1645">
        <w:trPr>
          <w:trHeight w:val="782"/>
        </w:trPr>
        <w:tc>
          <w:tcPr>
            <w:tcW w:w="2358" w:type="pct"/>
            <w:shd w:val="clear" w:color="auto" w:fill="auto"/>
            <w:hideMark/>
          </w:tcPr>
          <w:p w:rsidR="00672FF2" w:rsidRPr="00291AFB" w:rsidRDefault="00672FF2" w:rsidP="00291AFB">
            <w:pPr>
              <w:spacing w:after="0" w:line="240" w:lineRule="auto"/>
              <w:jc w:val="both"/>
              <w:rPr>
                <w:rFonts w:ascii="Arial" w:eastAsia="Times New Roman" w:hAnsi="Arial" w:cs="Arial"/>
                <w:b/>
                <w:sz w:val="20"/>
                <w:szCs w:val="20"/>
                <w:lang w:eastAsia="es-ES"/>
              </w:rPr>
            </w:pPr>
            <w:r w:rsidRPr="00291AFB">
              <w:rPr>
                <w:rFonts w:ascii="Arial" w:eastAsia="Times New Roman" w:hAnsi="Arial" w:cs="Arial"/>
                <w:b/>
                <w:sz w:val="20"/>
                <w:szCs w:val="20"/>
                <w:lang w:eastAsia="es-ES"/>
              </w:rPr>
              <w:t>a) Actividades realizadas:</w:t>
            </w:r>
          </w:p>
        </w:tc>
        <w:tc>
          <w:tcPr>
            <w:tcW w:w="2642" w:type="pct"/>
            <w:shd w:val="clear" w:color="auto" w:fill="auto"/>
          </w:tcPr>
          <w:p w:rsidR="00672FF2" w:rsidRPr="00FD1645" w:rsidRDefault="00672FF2" w:rsidP="00291AFB">
            <w:pPr>
              <w:spacing w:after="0" w:line="240" w:lineRule="auto"/>
              <w:jc w:val="both"/>
              <w:rPr>
                <w:rFonts w:ascii="Arial" w:eastAsia="Times New Roman" w:hAnsi="Arial" w:cs="Arial"/>
                <w:sz w:val="18"/>
                <w:szCs w:val="18"/>
                <w:lang w:eastAsia="es-ES"/>
              </w:rPr>
            </w:pPr>
            <w:r w:rsidRPr="00FD1645">
              <w:rPr>
                <w:rFonts w:ascii="Arial" w:eastAsia="Times New Roman" w:hAnsi="Arial" w:cs="Arial"/>
                <w:sz w:val="18"/>
                <w:szCs w:val="18"/>
                <w:lang w:eastAsia="es-ES"/>
              </w:rPr>
              <w:t xml:space="preserve">- Se trabajó en la formulación de una figura de proyecto, eligiendo el conjunto residencial de apartamentos. Se coordinó con la Municipalidad de Cartago, el AyA y el MIVAH. </w:t>
            </w:r>
          </w:p>
          <w:p w:rsidR="00672FF2" w:rsidRPr="00FD1645" w:rsidRDefault="00672FF2" w:rsidP="00291AFB">
            <w:pPr>
              <w:spacing w:after="0" w:line="240" w:lineRule="auto"/>
              <w:jc w:val="both"/>
              <w:rPr>
                <w:rFonts w:ascii="Arial" w:eastAsia="Times New Roman" w:hAnsi="Arial" w:cs="Arial"/>
                <w:sz w:val="18"/>
                <w:szCs w:val="18"/>
                <w:lang w:eastAsia="es-ES"/>
              </w:rPr>
            </w:pPr>
            <w:r w:rsidRPr="00FD1645">
              <w:rPr>
                <w:rFonts w:ascii="Arial" w:eastAsia="Times New Roman" w:hAnsi="Arial" w:cs="Arial"/>
                <w:sz w:val="18"/>
                <w:szCs w:val="18"/>
                <w:lang w:eastAsia="es-ES"/>
              </w:rPr>
              <w:t xml:space="preserve">- </w:t>
            </w:r>
            <w:r w:rsidRPr="00FD1645">
              <w:rPr>
                <w:rFonts w:ascii="Arial" w:eastAsia="Times New Roman" w:hAnsi="Arial" w:cs="Arial"/>
                <w:sz w:val="18"/>
                <w:szCs w:val="18"/>
                <w:lang w:eastAsia="es-ES"/>
              </w:rPr>
              <w:tab/>
              <w:t>Se recibió la autorización por parte de la Dirección de Urbanismo y Vivienda del INVU para el trámite del proyecto como Conjunto Residencial de Apartamentos.</w:t>
            </w:r>
          </w:p>
          <w:p w:rsidR="00672FF2" w:rsidRPr="00FD1645" w:rsidRDefault="00672FF2" w:rsidP="00291AFB">
            <w:pPr>
              <w:spacing w:after="0" w:line="240" w:lineRule="auto"/>
              <w:jc w:val="both"/>
              <w:rPr>
                <w:rFonts w:ascii="Arial" w:eastAsia="Times New Roman" w:hAnsi="Arial" w:cs="Arial"/>
                <w:sz w:val="18"/>
                <w:szCs w:val="18"/>
                <w:lang w:eastAsia="es-ES"/>
              </w:rPr>
            </w:pPr>
            <w:r w:rsidRPr="00FD1645">
              <w:rPr>
                <w:rFonts w:ascii="Arial" w:eastAsia="Times New Roman" w:hAnsi="Arial" w:cs="Arial"/>
                <w:sz w:val="18"/>
                <w:szCs w:val="18"/>
                <w:lang w:eastAsia="es-ES"/>
              </w:rPr>
              <w:t xml:space="preserve">- </w:t>
            </w:r>
            <w:r w:rsidRPr="00FD1645">
              <w:rPr>
                <w:rFonts w:ascii="Arial" w:eastAsia="Times New Roman" w:hAnsi="Arial" w:cs="Arial"/>
                <w:sz w:val="18"/>
                <w:szCs w:val="18"/>
                <w:lang w:eastAsia="es-ES"/>
              </w:rPr>
              <w:tab/>
              <w:t>Se mantuvo coordinación con la Asociación de Vivienda Cocorí y su consultor Desarrollos Constructivos Integrales (DCI) para aclarar a nivel técnico los cambios que requiere el proyecto.</w:t>
            </w:r>
          </w:p>
          <w:p w:rsidR="00672FF2" w:rsidRPr="00FD1645" w:rsidRDefault="00672FF2" w:rsidP="00291AFB">
            <w:pPr>
              <w:spacing w:after="0" w:line="240" w:lineRule="auto"/>
              <w:jc w:val="both"/>
              <w:rPr>
                <w:rFonts w:ascii="Arial" w:eastAsia="Times New Roman" w:hAnsi="Arial" w:cs="Arial"/>
                <w:sz w:val="18"/>
                <w:szCs w:val="18"/>
                <w:lang w:eastAsia="es-ES"/>
              </w:rPr>
            </w:pPr>
            <w:r w:rsidRPr="00FD1645">
              <w:rPr>
                <w:rFonts w:ascii="Arial" w:eastAsia="Times New Roman" w:hAnsi="Arial" w:cs="Arial"/>
                <w:sz w:val="18"/>
                <w:szCs w:val="18"/>
                <w:lang w:eastAsia="es-ES"/>
              </w:rPr>
              <w:t xml:space="preserve">- </w:t>
            </w:r>
            <w:r w:rsidRPr="00FD1645">
              <w:rPr>
                <w:rFonts w:ascii="Arial" w:eastAsia="Times New Roman" w:hAnsi="Arial" w:cs="Arial"/>
                <w:sz w:val="18"/>
                <w:szCs w:val="18"/>
                <w:lang w:eastAsia="es-ES"/>
              </w:rPr>
              <w:tab/>
              <w:t>Se brindó asesoría a la Asociación de Vivienda Cocorí para la revisión de la cotización presentada por la empresa DCI.</w:t>
            </w:r>
          </w:p>
          <w:p w:rsidR="00672FF2" w:rsidRPr="00FD1645" w:rsidRDefault="00672FF2" w:rsidP="00291AFB">
            <w:pPr>
              <w:spacing w:after="0" w:line="240" w:lineRule="auto"/>
              <w:jc w:val="both"/>
              <w:rPr>
                <w:rFonts w:ascii="Arial" w:eastAsia="Times New Roman" w:hAnsi="Arial" w:cs="Arial"/>
                <w:sz w:val="18"/>
                <w:szCs w:val="18"/>
                <w:lang w:eastAsia="es-ES"/>
              </w:rPr>
            </w:pPr>
            <w:r w:rsidRPr="00FD1645">
              <w:rPr>
                <w:rFonts w:ascii="Arial" w:eastAsia="Times New Roman" w:hAnsi="Arial" w:cs="Arial"/>
                <w:sz w:val="18"/>
                <w:szCs w:val="18"/>
                <w:lang w:eastAsia="es-ES"/>
              </w:rPr>
              <w:t xml:space="preserve">- </w:t>
            </w:r>
            <w:r w:rsidRPr="00FD1645">
              <w:rPr>
                <w:rFonts w:ascii="Arial" w:eastAsia="Times New Roman" w:hAnsi="Arial" w:cs="Arial"/>
                <w:sz w:val="18"/>
                <w:szCs w:val="18"/>
                <w:lang w:eastAsia="es-ES"/>
              </w:rPr>
              <w:tab/>
              <w:t>Se realizó una reunión en conjunto entre la Presidencia Ejecutiva del INVU, la Asociación y las familias potenciales beneficiarias del proyecto para comunicar el estado actual del proyecto.</w:t>
            </w:r>
          </w:p>
          <w:p w:rsidR="00672FF2" w:rsidRPr="00FD1645" w:rsidRDefault="00672FF2" w:rsidP="00291AFB">
            <w:pPr>
              <w:spacing w:after="0" w:line="240" w:lineRule="auto"/>
              <w:jc w:val="both"/>
              <w:rPr>
                <w:rFonts w:ascii="Arial" w:eastAsia="Times New Roman" w:hAnsi="Arial" w:cs="Arial"/>
                <w:sz w:val="18"/>
                <w:szCs w:val="18"/>
                <w:lang w:eastAsia="es-ES"/>
              </w:rPr>
            </w:pPr>
            <w:r w:rsidRPr="00FD1645">
              <w:rPr>
                <w:rFonts w:ascii="Arial" w:eastAsia="Times New Roman" w:hAnsi="Arial" w:cs="Arial"/>
                <w:sz w:val="18"/>
                <w:szCs w:val="18"/>
                <w:lang w:eastAsia="es-ES"/>
              </w:rPr>
              <w:t>- Dio inicio al proceso de contratación administrativa para la precalificación de empresas especializadas en diseño y construcción (Licitación pública 2017LN-000004-0005800001).</w:t>
            </w:r>
          </w:p>
          <w:p w:rsidR="00672FF2" w:rsidRPr="00FD1645" w:rsidRDefault="00672FF2" w:rsidP="00291AFB">
            <w:pPr>
              <w:spacing w:after="0" w:line="240" w:lineRule="auto"/>
              <w:jc w:val="both"/>
              <w:rPr>
                <w:rFonts w:ascii="Arial" w:eastAsia="Times New Roman" w:hAnsi="Arial" w:cs="Arial"/>
                <w:sz w:val="18"/>
                <w:szCs w:val="18"/>
                <w:lang w:eastAsia="es-ES"/>
              </w:rPr>
            </w:pPr>
            <w:r w:rsidRPr="00FD1645">
              <w:rPr>
                <w:rFonts w:ascii="Arial" w:eastAsia="Times New Roman" w:hAnsi="Arial" w:cs="Arial"/>
                <w:sz w:val="18"/>
                <w:szCs w:val="18"/>
                <w:lang w:eastAsia="es-ES"/>
              </w:rPr>
              <w:t>- Finalizaron los cambios requeridos a nivel de diseño para cumplir con la normativa que exige el trámite de un proyecto de Conjunto Residencial.</w:t>
            </w:r>
          </w:p>
          <w:p w:rsidR="00672FF2" w:rsidRPr="00FD1645" w:rsidRDefault="00672FF2" w:rsidP="00291AFB">
            <w:pPr>
              <w:spacing w:after="0" w:line="240" w:lineRule="auto"/>
              <w:jc w:val="both"/>
              <w:rPr>
                <w:rFonts w:ascii="Arial" w:eastAsia="Times New Roman" w:hAnsi="Arial" w:cs="Arial"/>
                <w:sz w:val="18"/>
                <w:szCs w:val="18"/>
                <w:lang w:eastAsia="es-ES"/>
              </w:rPr>
            </w:pPr>
            <w:r w:rsidRPr="00FD1645">
              <w:rPr>
                <w:rFonts w:ascii="Arial" w:eastAsia="Times New Roman" w:hAnsi="Arial" w:cs="Arial"/>
                <w:sz w:val="18"/>
                <w:szCs w:val="18"/>
                <w:lang w:eastAsia="es-ES"/>
              </w:rPr>
              <w:t>- Se presentaron los nuevos planos constructivos ante el sistema APC del CFIA para obtener el visado correspondiente.</w:t>
            </w:r>
          </w:p>
          <w:p w:rsidR="00672FF2" w:rsidRPr="00291AFB" w:rsidRDefault="00672FF2" w:rsidP="00291AFB">
            <w:pPr>
              <w:spacing w:after="0" w:line="240" w:lineRule="auto"/>
              <w:jc w:val="both"/>
              <w:rPr>
                <w:rFonts w:ascii="Arial" w:eastAsia="Times New Roman" w:hAnsi="Arial" w:cs="Arial"/>
                <w:sz w:val="20"/>
                <w:szCs w:val="20"/>
                <w:lang w:eastAsia="es-ES"/>
              </w:rPr>
            </w:pPr>
            <w:r w:rsidRPr="00FD1645">
              <w:rPr>
                <w:rFonts w:ascii="Arial" w:eastAsia="Times New Roman" w:hAnsi="Arial" w:cs="Arial"/>
                <w:sz w:val="18"/>
                <w:szCs w:val="18"/>
                <w:lang w:eastAsia="es-ES"/>
              </w:rPr>
              <w:t>- Se renovó la declaratoria de interés social.</w:t>
            </w:r>
          </w:p>
        </w:tc>
      </w:tr>
      <w:tr w:rsidR="00672FF2" w:rsidRPr="00291AFB" w:rsidTr="00FD1645">
        <w:trPr>
          <w:trHeight w:val="668"/>
        </w:trPr>
        <w:tc>
          <w:tcPr>
            <w:tcW w:w="2358" w:type="pct"/>
            <w:shd w:val="clear" w:color="auto" w:fill="auto"/>
            <w:hideMark/>
          </w:tcPr>
          <w:p w:rsidR="00672FF2" w:rsidRPr="00291AFB" w:rsidRDefault="00672FF2" w:rsidP="00291AFB">
            <w:pPr>
              <w:spacing w:after="0" w:line="240" w:lineRule="auto"/>
              <w:jc w:val="both"/>
              <w:rPr>
                <w:rFonts w:ascii="Arial" w:eastAsia="Times New Roman" w:hAnsi="Arial" w:cs="Arial"/>
                <w:b/>
                <w:sz w:val="20"/>
                <w:szCs w:val="20"/>
                <w:lang w:eastAsia="es-ES"/>
              </w:rPr>
            </w:pPr>
            <w:r w:rsidRPr="00291AFB">
              <w:rPr>
                <w:rFonts w:ascii="Arial" w:eastAsia="Times New Roman" w:hAnsi="Arial" w:cs="Arial"/>
                <w:b/>
                <w:sz w:val="20"/>
                <w:szCs w:val="20"/>
                <w:lang w:eastAsia="es-ES"/>
              </w:rPr>
              <w:t xml:space="preserve">b) Limitaciones: </w:t>
            </w:r>
          </w:p>
          <w:p w:rsidR="00672FF2" w:rsidRPr="00291AFB" w:rsidRDefault="00672FF2" w:rsidP="00291AFB">
            <w:pPr>
              <w:spacing w:after="0" w:line="240" w:lineRule="auto"/>
              <w:jc w:val="both"/>
              <w:rPr>
                <w:rFonts w:ascii="Arial" w:eastAsia="Times New Roman" w:hAnsi="Arial" w:cs="Arial"/>
                <w:b/>
                <w:sz w:val="20"/>
                <w:szCs w:val="20"/>
                <w:lang w:eastAsia="es-ES"/>
              </w:rPr>
            </w:pPr>
          </w:p>
          <w:p w:rsidR="00672FF2" w:rsidRPr="00291AFB" w:rsidRDefault="00672FF2" w:rsidP="00291AFB">
            <w:pPr>
              <w:spacing w:after="0" w:line="240" w:lineRule="auto"/>
              <w:jc w:val="both"/>
              <w:rPr>
                <w:rFonts w:ascii="Arial" w:eastAsia="Times New Roman" w:hAnsi="Arial" w:cs="Arial"/>
                <w:b/>
                <w:sz w:val="20"/>
                <w:szCs w:val="20"/>
                <w:lang w:eastAsia="es-ES"/>
              </w:rPr>
            </w:pPr>
          </w:p>
        </w:tc>
        <w:tc>
          <w:tcPr>
            <w:tcW w:w="2642" w:type="pct"/>
            <w:shd w:val="clear" w:color="auto" w:fill="auto"/>
          </w:tcPr>
          <w:p w:rsidR="00672FF2" w:rsidRPr="00FD1645" w:rsidRDefault="00672FF2" w:rsidP="00291AFB">
            <w:pPr>
              <w:spacing w:after="0" w:line="240" w:lineRule="auto"/>
              <w:jc w:val="both"/>
              <w:rPr>
                <w:rFonts w:ascii="Arial" w:eastAsia="Times New Roman" w:hAnsi="Arial" w:cs="Arial"/>
                <w:sz w:val="18"/>
                <w:szCs w:val="18"/>
                <w:lang w:eastAsia="es-ES"/>
              </w:rPr>
            </w:pPr>
            <w:r w:rsidRPr="00FD1645">
              <w:rPr>
                <w:rFonts w:ascii="Arial" w:eastAsia="Times New Roman" w:hAnsi="Arial" w:cs="Arial"/>
                <w:sz w:val="18"/>
                <w:szCs w:val="18"/>
                <w:lang w:eastAsia="es-ES"/>
              </w:rPr>
              <w:t>- La figura propuesta de condominio para el proyecto no cumplía con normativa de Acueductos y Alcantarillados (AyA).</w:t>
            </w:r>
          </w:p>
          <w:p w:rsidR="00672FF2" w:rsidRPr="00FD1645" w:rsidRDefault="00672FF2" w:rsidP="00291AFB">
            <w:pPr>
              <w:spacing w:after="0" w:line="240" w:lineRule="auto"/>
              <w:jc w:val="both"/>
              <w:rPr>
                <w:rFonts w:ascii="Arial" w:eastAsia="Times New Roman" w:hAnsi="Arial" w:cs="Arial"/>
                <w:sz w:val="18"/>
                <w:szCs w:val="18"/>
                <w:lang w:eastAsia="es-ES"/>
              </w:rPr>
            </w:pPr>
            <w:r w:rsidRPr="00FD1645">
              <w:rPr>
                <w:rFonts w:ascii="Arial" w:eastAsia="Times New Roman" w:hAnsi="Arial" w:cs="Arial"/>
                <w:sz w:val="18"/>
                <w:szCs w:val="18"/>
                <w:lang w:eastAsia="es-ES"/>
              </w:rPr>
              <w:t xml:space="preserve">- </w:t>
            </w:r>
            <w:r w:rsidRPr="00FD1645">
              <w:rPr>
                <w:rFonts w:ascii="Arial" w:eastAsia="Times New Roman" w:hAnsi="Arial" w:cs="Arial"/>
                <w:sz w:val="18"/>
                <w:szCs w:val="18"/>
                <w:lang w:eastAsia="es-ES"/>
              </w:rPr>
              <w:tab/>
              <w:t>La no existencia de una relación contractual directa con el consultor del proyecto.</w:t>
            </w:r>
          </w:p>
          <w:p w:rsidR="00672FF2" w:rsidRPr="00FD1645" w:rsidRDefault="00672FF2" w:rsidP="00291AFB">
            <w:pPr>
              <w:spacing w:after="0" w:line="240" w:lineRule="auto"/>
              <w:jc w:val="both"/>
              <w:rPr>
                <w:rFonts w:ascii="Arial" w:eastAsia="Times New Roman" w:hAnsi="Arial" w:cs="Arial"/>
                <w:sz w:val="18"/>
                <w:szCs w:val="18"/>
                <w:lang w:eastAsia="es-ES"/>
              </w:rPr>
            </w:pPr>
            <w:r w:rsidRPr="00FD1645">
              <w:rPr>
                <w:rFonts w:ascii="Arial" w:eastAsia="Times New Roman" w:hAnsi="Arial" w:cs="Arial"/>
                <w:sz w:val="18"/>
                <w:szCs w:val="18"/>
                <w:lang w:eastAsia="es-ES"/>
              </w:rPr>
              <w:t>- El tiempo de respuesta por parte del consultor para realizar cambios y ajustes requeridos a nivel de diseño.</w:t>
            </w:r>
          </w:p>
        </w:tc>
      </w:tr>
      <w:tr w:rsidR="00672FF2" w:rsidRPr="00291AFB" w:rsidTr="00FD1645">
        <w:trPr>
          <w:trHeight w:val="446"/>
        </w:trPr>
        <w:tc>
          <w:tcPr>
            <w:tcW w:w="2358" w:type="pct"/>
            <w:shd w:val="clear" w:color="auto" w:fill="auto"/>
            <w:hideMark/>
          </w:tcPr>
          <w:p w:rsidR="00672FF2" w:rsidRPr="00291AFB" w:rsidRDefault="00672FF2" w:rsidP="00291AFB">
            <w:pPr>
              <w:spacing w:after="0" w:line="240" w:lineRule="auto"/>
              <w:jc w:val="both"/>
              <w:rPr>
                <w:rFonts w:ascii="Arial" w:eastAsia="Times New Roman" w:hAnsi="Arial" w:cs="Arial"/>
                <w:b/>
                <w:sz w:val="20"/>
                <w:szCs w:val="20"/>
                <w:lang w:eastAsia="es-ES"/>
              </w:rPr>
            </w:pPr>
            <w:r w:rsidRPr="00291AFB">
              <w:rPr>
                <w:rFonts w:ascii="Arial" w:eastAsia="Times New Roman" w:hAnsi="Arial" w:cs="Arial"/>
                <w:b/>
                <w:sz w:val="20"/>
                <w:szCs w:val="20"/>
                <w:lang w:eastAsia="es-ES"/>
              </w:rPr>
              <w:t>c) Medidas correctivas o acciones de mejora (realizadas y por realizar) para el logro de la meta:</w:t>
            </w:r>
          </w:p>
        </w:tc>
        <w:tc>
          <w:tcPr>
            <w:tcW w:w="2642" w:type="pct"/>
            <w:shd w:val="clear" w:color="auto" w:fill="auto"/>
          </w:tcPr>
          <w:p w:rsidR="00672FF2" w:rsidRPr="00FD1645" w:rsidRDefault="00672FF2" w:rsidP="00291AFB">
            <w:pPr>
              <w:spacing w:after="0" w:line="240" w:lineRule="auto"/>
              <w:jc w:val="both"/>
              <w:rPr>
                <w:rFonts w:ascii="Arial" w:eastAsia="Times New Roman" w:hAnsi="Arial" w:cs="Arial"/>
                <w:sz w:val="18"/>
                <w:szCs w:val="18"/>
                <w:lang w:eastAsia="es-ES"/>
              </w:rPr>
            </w:pPr>
            <w:r w:rsidRPr="00FD1645">
              <w:rPr>
                <w:rFonts w:ascii="Arial" w:eastAsia="Times New Roman" w:hAnsi="Arial" w:cs="Arial"/>
                <w:sz w:val="18"/>
                <w:szCs w:val="18"/>
                <w:lang w:eastAsia="es-ES"/>
              </w:rPr>
              <w:t>Coordinación con las Municipalidades involucradas la forma de agilizar la segregación de los terrenos.</w:t>
            </w:r>
          </w:p>
        </w:tc>
      </w:tr>
      <w:tr w:rsidR="00672FF2" w:rsidRPr="00291AFB" w:rsidTr="00FD1645">
        <w:trPr>
          <w:trHeight w:val="806"/>
        </w:trPr>
        <w:tc>
          <w:tcPr>
            <w:tcW w:w="2358" w:type="pct"/>
            <w:shd w:val="clear" w:color="auto" w:fill="auto"/>
          </w:tcPr>
          <w:p w:rsidR="00672FF2" w:rsidRPr="00291AFB" w:rsidRDefault="00672FF2" w:rsidP="00291AFB">
            <w:pPr>
              <w:spacing w:after="0" w:line="240" w:lineRule="auto"/>
              <w:jc w:val="both"/>
              <w:rPr>
                <w:rFonts w:ascii="Arial" w:eastAsia="Times New Roman" w:hAnsi="Arial" w:cs="Arial"/>
                <w:b/>
                <w:sz w:val="20"/>
                <w:szCs w:val="20"/>
                <w:lang w:eastAsia="es-ES"/>
              </w:rPr>
            </w:pPr>
            <w:r w:rsidRPr="00291AFB">
              <w:rPr>
                <w:rFonts w:ascii="Arial" w:eastAsia="Times New Roman" w:hAnsi="Arial" w:cs="Arial"/>
                <w:b/>
                <w:sz w:val="20"/>
                <w:szCs w:val="20"/>
                <w:lang w:eastAsia="es-ES"/>
              </w:rPr>
              <w:t>Observaciones:</w:t>
            </w:r>
          </w:p>
        </w:tc>
        <w:tc>
          <w:tcPr>
            <w:tcW w:w="2642" w:type="pct"/>
            <w:shd w:val="clear" w:color="auto" w:fill="auto"/>
          </w:tcPr>
          <w:p w:rsidR="00672FF2" w:rsidRPr="00FD1645" w:rsidRDefault="00672FF2" w:rsidP="00291AFB">
            <w:pPr>
              <w:spacing w:after="0" w:line="240" w:lineRule="auto"/>
              <w:jc w:val="both"/>
              <w:rPr>
                <w:rFonts w:ascii="Arial" w:eastAsia="Times New Roman" w:hAnsi="Arial" w:cs="Arial"/>
                <w:sz w:val="18"/>
                <w:szCs w:val="18"/>
                <w:lang w:eastAsia="es-ES"/>
              </w:rPr>
            </w:pPr>
            <w:r w:rsidRPr="00FD1645">
              <w:rPr>
                <w:rFonts w:ascii="Arial" w:eastAsia="Times New Roman" w:hAnsi="Arial" w:cs="Arial"/>
                <w:sz w:val="18"/>
                <w:szCs w:val="18"/>
                <w:lang w:eastAsia="es-ES"/>
              </w:rPr>
              <w:t>- Este proyecto se ubica en Cartago.</w:t>
            </w:r>
          </w:p>
        </w:tc>
      </w:tr>
    </w:tbl>
    <w:p w:rsidR="00672FF2" w:rsidRPr="00DC20AB" w:rsidRDefault="00672FF2" w:rsidP="00291AFB">
      <w:pPr>
        <w:spacing w:after="0" w:line="240" w:lineRule="auto"/>
        <w:jc w:val="both"/>
        <w:rPr>
          <w:rFonts w:ascii="Arial" w:eastAsia="Times New Roman" w:hAnsi="Arial" w:cs="Arial"/>
          <w:sz w:val="18"/>
          <w:szCs w:val="18"/>
          <w:lang w:eastAsia="es-ES"/>
        </w:rPr>
      </w:pPr>
      <w:r w:rsidRPr="00DC20AB">
        <w:rPr>
          <w:rFonts w:ascii="Arial" w:eastAsia="Times New Roman" w:hAnsi="Arial" w:cs="Arial"/>
          <w:sz w:val="18"/>
          <w:szCs w:val="18"/>
          <w:lang w:eastAsia="es-ES"/>
        </w:rPr>
        <w:t>Nota Fuente: Informe de rendimiento de cuentas de área. (2017)</w:t>
      </w:r>
    </w:p>
    <w:p w:rsidR="00672FF2" w:rsidRPr="00167656" w:rsidRDefault="00672FF2" w:rsidP="00672FF2">
      <w:pPr>
        <w:rPr>
          <w:rFonts w:ascii="Arial" w:eastAsia="Times New Roman" w:hAnsi="Arial" w:cs="Arial"/>
          <w:b/>
          <w:bCs/>
          <w:sz w:val="20"/>
          <w:szCs w:val="20"/>
          <w:lang w:eastAsia="es-CR"/>
        </w:rPr>
      </w:pPr>
      <w:r w:rsidRPr="00672FF2">
        <w:rPr>
          <w:rFonts w:ascii="Arial" w:eastAsia="Times New Roman" w:hAnsi="Arial" w:cs="Arial"/>
          <w:b/>
          <w:bCs/>
          <w:color w:val="000000"/>
          <w:sz w:val="20"/>
          <w:szCs w:val="20"/>
          <w:lang w:eastAsia="es-CR"/>
        </w:rPr>
        <w:br w:type="page"/>
      </w:r>
      <w:r w:rsidRPr="00167656">
        <w:rPr>
          <w:rFonts w:ascii="Arial" w:eastAsia="Times New Roman" w:hAnsi="Arial" w:cs="Arial"/>
          <w:b/>
          <w:bCs/>
          <w:sz w:val="20"/>
          <w:szCs w:val="20"/>
          <w:lang w:eastAsia="es-CR"/>
        </w:rPr>
        <w:lastRenderedPageBreak/>
        <w:t>PROYECTO PREMIO BLËLË</w:t>
      </w:r>
    </w:p>
    <w:p w:rsidR="00672FF2" w:rsidRPr="00167656" w:rsidRDefault="00672FF2" w:rsidP="00672FF2">
      <w:pPr>
        <w:rPr>
          <w:rFonts w:ascii="Arial" w:eastAsia="Times New Roman" w:hAnsi="Arial" w:cs="Arial"/>
          <w:bCs/>
          <w:sz w:val="20"/>
          <w:szCs w:val="20"/>
          <w:lang w:eastAsia="es-CR"/>
        </w:rPr>
      </w:pPr>
      <w:r w:rsidRPr="00167656">
        <w:rPr>
          <w:rFonts w:ascii="Arial" w:eastAsia="Times New Roman" w:hAnsi="Arial" w:cs="Arial"/>
          <w:bCs/>
          <w:sz w:val="20"/>
          <w:szCs w:val="20"/>
          <w:lang w:eastAsia="es-CR"/>
        </w:rPr>
        <w:t xml:space="preserve">Indicador N°31 Número de apartamentos construidos </w:t>
      </w:r>
    </w:p>
    <w:p w:rsidR="00672FF2" w:rsidRPr="00167656" w:rsidRDefault="00672FF2" w:rsidP="00672FF2">
      <w:pPr>
        <w:rPr>
          <w:rFonts w:ascii="Arial" w:eastAsia="Times New Roman" w:hAnsi="Arial" w:cs="Arial"/>
          <w:bCs/>
          <w:sz w:val="20"/>
          <w:szCs w:val="20"/>
          <w:lang w:eastAsia="es-CR"/>
        </w:rPr>
      </w:pPr>
      <w:r w:rsidRPr="00167656">
        <w:rPr>
          <w:rFonts w:ascii="Arial" w:eastAsia="Times New Roman" w:hAnsi="Arial" w:cs="Arial"/>
          <w:bCs/>
          <w:sz w:val="20"/>
          <w:szCs w:val="20"/>
          <w:lang w:eastAsia="es-CR"/>
        </w:rPr>
        <w:t>La ejecución del proyecto no presenta avance durante el período 2017, porque se ha trabajado en las gestiones derivadas de los trámites para lograr las aprobaciones correspondientes.</w:t>
      </w:r>
    </w:p>
    <w:p w:rsidR="00672FF2" w:rsidRPr="00167656" w:rsidRDefault="00672FF2" w:rsidP="00672FF2">
      <w:pPr>
        <w:rPr>
          <w:rFonts w:ascii="Arial" w:eastAsia="Times New Roman" w:hAnsi="Arial" w:cs="Arial"/>
          <w:bCs/>
          <w:sz w:val="20"/>
          <w:szCs w:val="20"/>
          <w:lang w:eastAsia="es-CR"/>
        </w:rPr>
      </w:pPr>
      <w:r w:rsidRPr="00167656">
        <w:rPr>
          <w:rFonts w:ascii="Arial" w:eastAsia="Times New Roman" w:hAnsi="Arial" w:cs="Arial"/>
          <w:bCs/>
          <w:sz w:val="20"/>
          <w:szCs w:val="20"/>
          <w:lang w:eastAsia="es-CR"/>
        </w:rPr>
        <w:t>Seguidamente se muestra un detalle de lo actuado:</w:t>
      </w:r>
    </w:p>
    <w:tbl>
      <w:tblPr>
        <w:tblW w:w="9103" w:type="dxa"/>
        <w:tblBorders>
          <w:insideH w:val="single" w:sz="6" w:space="0" w:color="000000"/>
          <w:insideV w:val="single" w:sz="6" w:space="0" w:color="000000"/>
        </w:tblBorders>
        <w:tblLook w:val="04A0" w:firstRow="1" w:lastRow="0" w:firstColumn="1" w:lastColumn="0" w:noHBand="0" w:noVBand="1"/>
      </w:tblPr>
      <w:tblGrid>
        <w:gridCol w:w="4293"/>
        <w:gridCol w:w="4810"/>
      </w:tblGrid>
      <w:tr w:rsidR="00672FF2" w:rsidRPr="00167656" w:rsidTr="002D5BDD">
        <w:trPr>
          <w:trHeight w:val="270"/>
        </w:trPr>
        <w:tc>
          <w:tcPr>
            <w:tcW w:w="5000" w:type="pct"/>
            <w:gridSpan w:val="2"/>
            <w:shd w:val="clear" w:color="auto" w:fill="auto"/>
            <w:noWrap/>
            <w:hideMark/>
          </w:tcPr>
          <w:p w:rsidR="00672FF2" w:rsidRPr="00167656" w:rsidRDefault="00672FF2" w:rsidP="00167656">
            <w:pPr>
              <w:jc w:val="center"/>
              <w:rPr>
                <w:rFonts w:ascii="Arial" w:eastAsia="Times New Roman" w:hAnsi="Arial" w:cs="Arial"/>
                <w:b/>
                <w:bCs/>
                <w:sz w:val="20"/>
                <w:szCs w:val="20"/>
                <w:lang w:eastAsia="es-CR"/>
              </w:rPr>
            </w:pPr>
            <w:r w:rsidRPr="00167656">
              <w:rPr>
                <w:rFonts w:ascii="Arial" w:eastAsia="Times New Roman" w:hAnsi="Arial" w:cs="Arial"/>
                <w:b/>
                <w:bCs/>
                <w:sz w:val="20"/>
                <w:szCs w:val="20"/>
                <w:lang w:eastAsia="es-CR"/>
              </w:rPr>
              <w:t>Tabla 26 Acciones Realizadas</w:t>
            </w:r>
          </w:p>
        </w:tc>
      </w:tr>
      <w:tr w:rsidR="00672FF2" w:rsidRPr="00167656" w:rsidTr="002D5BDD">
        <w:trPr>
          <w:trHeight w:val="825"/>
        </w:trPr>
        <w:tc>
          <w:tcPr>
            <w:tcW w:w="2358" w:type="pct"/>
            <w:shd w:val="clear" w:color="auto" w:fill="auto"/>
            <w:hideMark/>
          </w:tcPr>
          <w:p w:rsidR="00672FF2" w:rsidRPr="00167656" w:rsidRDefault="00672FF2" w:rsidP="00672FF2">
            <w:pPr>
              <w:rPr>
                <w:rFonts w:ascii="Arial" w:eastAsia="Times New Roman" w:hAnsi="Arial" w:cs="Arial"/>
                <w:b/>
                <w:bCs/>
                <w:sz w:val="20"/>
                <w:szCs w:val="20"/>
                <w:lang w:eastAsia="es-CR"/>
              </w:rPr>
            </w:pPr>
            <w:r w:rsidRPr="00167656">
              <w:rPr>
                <w:rFonts w:ascii="Arial" w:eastAsia="Times New Roman" w:hAnsi="Arial" w:cs="Arial"/>
                <w:b/>
                <w:bCs/>
                <w:sz w:val="20"/>
                <w:szCs w:val="20"/>
                <w:lang w:eastAsia="es-CR"/>
              </w:rPr>
              <w:t>a) Actividades realizadas:</w:t>
            </w:r>
          </w:p>
        </w:tc>
        <w:tc>
          <w:tcPr>
            <w:tcW w:w="2642" w:type="pct"/>
            <w:shd w:val="clear" w:color="auto" w:fill="auto"/>
          </w:tcPr>
          <w:p w:rsidR="00672FF2" w:rsidRPr="00167656" w:rsidRDefault="00672FF2" w:rsidP="00167656">
            <w:pPr>
              <w:spacing w:after="0" w:line="240" w:lineRule="auto"/>
              <w:jc w:val="both"/>
              <w:rPr>
                <w:rFonts w:ascii="Arial" w:eastAsia="Times New Roman" w:hAnsi="Arial" w:cs="Arial"/>
                <w:bCs/>
                <w:sz w:val="20"/>
                <w:szCs w:val="20"/>
                <w:lang w:eastAsia="es-CR"/>
              </w:rPr>
            </w:pPr>
            <w:r w:rsidRPr="00167656">
              <w:rPr>
                <w:rFonts w:ascii="Arial" w:eastAsia="Times New Roman" w:hAnsi="Arial" w:cs="Arial"/>
                <w:bCs/>
                <w:sz w:val="20"/>
                <w:szCs w:val="20"/>
                <w:lang w:eastAsia="es-CR"/>
              </w:rPr>
              <w:t>- Se concluyó el proceso de viabilidad ambiental ante la Secretaria Técnica Nacional Ambiental (SETENA), resolución 1922-2017-SETENA del 26 de septiembre del 2017.</w:t>
            </w:r>
          </w:p>
          <w:p w:rsidR="00672FF2" w:rsidRPr="00167656" w:rsidRDefault="00672FF2" w:rsidP="00167656">
            <w:pPr>
              <w:spacing w:after="0" w:line="240" w:lineRule="auto"/>
              <w:jc w:val="both"/>
              <w:rPr>
                <w:rFonts w:ascii="Arial" w:eastAsia="Times New Roman" w:hAnsi="Arial" w:cs="Arial"/>
                <w:bCs/>
                <w:sz w:val="20"/>
                <w:szCs w:val="20"/>
                <w:lang w:eastAsia="es-CR"/>
              </w:rPr>
            </w:pPr>
            <w:r w:rsidRPr="00167656">
              <w:rPr>
                <w:rFonts w:ascii="Arial" w:eastAsia="Times New Roman" w:hAnsi="Arial" w:cs="Arial"/>
                <w:bCs/>
                <w:sz w:val="20"/>
                <w:szCs w:val="20"/>
                <w:lang w:eastAsia="es-CR"/>
              </w:rPr>
              <w:t>-Con oficio No.07463 de fecha 30 de junio del 2017, la Contraloría General de la República, mediante su Dirección de Contratación Administrativa autorizó a INVU, para que proceda a la venta directa del inmueble al Fondo de Inversión administrado por la Sociedad Administradora de Fondos de Inversión del Banco Popular.</w:t>
            </w:r>
          </w:p>
          <w:p w:rsidR="00672FF2" w:rsidRPr="00167656" w:rsidRDefault="00672FF2" w:rsidP="00167656">
            <w:pPr>
              <w:spacing w:after="0" w:line="240" w:lineRule="auto"/>
              <w:jc w:val="both"/>
              <w:rPr>
                <w:rFonts w:ascii="Arial" w:eastAsia="Times New Roman" w:hAnsi="Arial" w:cs="Arial"/>
                <w:bCs/>
                <w:sz w:val="20"/>
                <w:szCs w:val="20"/>
                <w:lang w:eastAsia="es-CR"/>
              </w:rPr>
            </w:pPr>
            <w:r w:rsidRPr="00167656">
              <w:rPr>
                <w:rFonts w:ascii="Arial" w:eastAsia="Times New Roman" w:hAnsi="Arial" w:cs="Arial"/>
                <w:bCs/>
                <w:sz w:val="20"/>
                <w:szCs w:val="20"/>
                <w:lang w:eastAsia="es-CR"/>
              </w:rPr>
              <w:t>- La Sociedad Administradora de Fondos de Inversión (SAFI) del Banco Popular presentó el prospecto del proyecto ante la SUGEVAL el trimestre anterior, para su aprobación y finalmente obtuvo el visto bueno de dicha entidad para el financiar el diseño y la construcción del proyecto.</w:t>
            </w:r>
          </w:p>
          <w:p w:rsidR="00672FF2" w:rsidRPr="00167656" w:rsidRDefault="00672FF2" w:rsidP="00167656">
            <w:pPr>
              <w:spacing w:after="0" w:line="240" w:lineRule="auto"/>
              <w:jc w:val="both"/>
              <w:rPr>
                <w:rFonts w:ascii="Arial" w:eastAsia="Times New Roman" w:hAnsi="Arial" w:cs="Arial"/>
                <w:bCs/>
                <w:sz w:val="20"/>
                <w:szCs w:val="20"/>
                <w:lang w:eastAsia="es-CR"/>
              </w:rPr>
            </w:pPr>
            <w:r w:rsidRPr="00167656">
              <w:rPr>
                <w:rFonts w:ascii="Arial" w:eastAsia="Times New Roman" w:hAnsi="Arial" w:cs="Arial"/>
                <w:bCs/>
                <w:sz w:val="20"/>
                <w:szCs w:val="20"/>
                <w:lang w:eastAsia="es-CR"/>
              </w:rPr>
              <w:t>- La SAFI con la obtención del visto bueno de SUGEVAL ha procedido a realizar las gestiones pertinentes para levantar recursos de inversionistas interesados en desarrollar el proyecto.</w:t>
            </w:r>
          </w:p>
        </w:tc>
      </w:tr>
      <w:tr w:rsidR="00672FF2" w:rsidRPr="00167656" w:rsidTr="002D5BDD">
        <w:trPr>
          <w:trHeight w:val="705"/>
        </w:trPr>
        <w:tc>
          <w:tcPr>
            <w:tcW w:w="2358" w:type="pct"/>
            <w:shd w:val="clear" w:color="auto" w:fill="auto"/>
            <w:hideMark/>
          </w:tcPr>
          <w:p w:rsidR="00672FF2" w:rsidRPr="00167656" w:rsidRDefault="00672FF2" w:rsidP="00672FF2">
            <w:pPr>
              <w:rPr>
                <w:rFonts w:ascii="Arial" w:eastAsia="Times New Roman" w:hAnsi="Arial" w:cs="Arial"/>
                <w:b/>
                <w:bCs/>
                <w:sz w:val="20"/>
                <w:szCs w:val="20"/>
                <w:lang w:eastAsia="es-CR"/>
              </w:rPr>
            </w:pPr>
            <w:r w:rsidRPr="00167656">
              <w:rPr>
                <w:rFonts w:ascii="Arial" w:eastAsia="Times New Roman" w:hAnsi="Arial" w:cs="Arial"/>
                <w:b/>
                <w:bCs/>
                <w:sz w:val="20"/>
                <w:szCs w:val="20"/>
                <w:lang w:eastAsia="es-CR"/>
              </w:rPr>
              <w:t xml:space="preserve">b) Limitaciones: </w:t>
            </w:r>
          </w:p>
          <w:p w:rsidR="00672FF2" w:rsidRPr="00167656" w:rsidRDefault="00672FF2" w:rsidP="00672FF2">
            <w:pPr>
              <w:rPr>
                <w:rFonts w:ascii="Arial" w:eastAsia="Times New Roman" w:hAnsi="Arial" w:cs="Arial"/>
                <w:b/>
                <w:bCs/>
                <w:sz w:val="20"/>
                <w:szCs w:val="20"/>
                <w:lang w:eastAsia="es-CR"/>
              </w:rPr>
            </w:pPr>
          </w:p>
          <w:p w:rsidR="00672FF2" w:rsidRPr="00167656" w:rsidRDefault="00672FF2" w:rsidP="00672FF2">
            <w:pPr>
              <w:rPr>
                <w:rFonts w:ascii="Arial" w:eastAsia="Times New Roman" w:hAnsi="Arial" w:cs="Arial"/>
                <w:b/>
                <w:bCs/>
                <w:sz w:val="20"/>
                <w:szCs w:val="20"/>
                <w:lang w:eastAsia="es-CR"/>
              </w:rPr>
            </w:pPr>
          </w:p>
        </w:tc>
        <w:tc>
          <w:tcPr>
            <w:tcW w:w="2642" w:type="pct"/>
            <w:shd w:val="clear" w:color="auto" w:fill="auto"/>
          </w:tcPr>
          <w:p w:rsidR="00672FF2" w:rsidRPr="00167656" w:rsidRDefault="00672FF2" w:rsidP="00167656">
            <w:pPr>
              <w:spacing w:after="0" w:line="240" w:lineRule="auto"/>
              <w:jc w:val="both"/>
              <w:rPr>
                <w:rFonts w:ascii="Arial" w:eastAsia="Times New Roman" w:hAnsi="Arial" w:cs="Arial"/>
                <w:bCs/>
                <w:sz w:val="20"/>
                <w:szCs w:val="20"/>
                <w:lang w:eastAsia="es-CR"/>
              </w:rPr>
            </w:pPr>
            <w:r w:rsidRPr="00167656">
              <w:rPr>
                <w:rFonts w:ascii="Arial" w:eastAsia="Times New Roman" w:hAnsi="Arial" w:cs="Arial"/>
                <w:bCs/>
                <w:sz w:val="20"/>
                <w:szCs w:val="20"/>
                <w:lang w:eastAsia="es-CR"/>
              </w:rPr>
              <w:t>- Tiempo de espera para obtener la viabilidad ambiental por parte de SETENA.</w:t>
            </w:r>
          </w:p>
          <w:p w:rsidR="00672FF2" w:rsidRPr="00167656" w:rsidRDefault="00672FF2" w:rsidP="00167656">
            <w:pPr>
              <w:spacing w:after="0" w:line="240" w:lineRule="auto"/>
              <w:jc w:val="both"/>
              <w:rPr>
                <w:rFonts w:ascii="Arial" w:eastAsia="Times New Roman" w:hAnsi="Arial" w:cs="Arial"/>
                <w:bCs/>
                <w:sz w:val="20"/>
                <w:szCs w:val="20"/>
                <w:lang w:eastAsia="es-CR"/>
              </w:rPr>
            </w:pPr>
            <w:r w:rsidRPr="00167656">
              <w:rPr>
                <w:rFonts w:ascii="Arial" w:eastAsia="Times New Roman" w:hAnsi="Arial" w:cs="Arial"/>
                <w:bCs/>
                <w:sz w:val="20"/>
                <w:szCs w:val="20"/>
                <w:lang w:eastAsia="es-CR"/>
              </w:rPr>
              <w:t xml:space="preserve">- </w:t>
            </w:r>
            <w:r w:rsidRPr="00167656">
              <w:rPr>
                <w:rFonts w:ascii="Arial" w:eastAsia="Times New Roman" w:hAnsi="Arial" w:cs="Arial"/>
                <w:bCs/>
                <w:sz w:val="20"/>
                <w:szCs w:val="20"/>
                <w:lang w:eastAsia="es-CR"/>
              </w:rPr>
              <w:tab/>
              <w:t>Tiempo de espera para la revisión del prospecto y su aprobación, por parte de la SUGEVAL.</w:t>
            </w:r>
          </w:p>
          <w:p w:rsidR="00672FF2" w:rsidRPr="00167656" w:rsidRDefault="00672FF2" w:rsidP="00167656">
            <w:pPr>
              <w:spacing w:after="0" w:line="240" w:lineRule="auto"/>
              <w:jc w:val="both"/>
              <w:rPr>
                <w:rFonts w:ascii="Arial" w:eastAsia="Times New Roman" w:hAnsi="Arial" w:cs="Arial"/>
                <w:bCs/>
                <w:sz w:val="20"/>
                <w:szCs w:val="20"/>
                <w:lang w:eastAsia="es-CR"/>
              </w:rPr>
            </w:pPr>
            <w:r w:rsidRPr="00167656">
              <w:rPr>
                <w:rFonts w:ascii="Arial" w:eastAsia="Times New Roman" w:hAnsi="Arial" w:cs="Arial"/>
                <w:bCs/>
                <w:sz w:val="20"/>
                <w:szCs w:val="20"/>
                <w:lang w:eastAsia="es-CR"/>
              </w:rPr>
              <w:t>- Poco interés de los inversionistas en colocar fondos en el proyecto para realizar la ejecución del mismo.</w:t>
            </w:r>
          </w:p>
        </w:tc>
      </w:tr>
      <w:tr w:rsidR="00167656" w:rsidRPr="00167656" w:rsidTr="002D5BDD">
        <w:trPr>
          <w:trHeight w:val="705"/>
        </w:trPr>
        <w:tc>
          <w:tcPr>
            <w:tcW w:w="2358" w:type="pct"/>
            <w:shd w:val="clear" w:color="auto" w:fill="auto"/>
          </w:tcPr>
          <w:p w:rsidR="00167656" w:rsidRPr="00167656" w:rsidRDefault="00167656" w:rsidP="00672FF2">
            <w:pPr>
              <w:rPr>
                <w:rFonts w:ascii="Arial" w:eastAsia="Times New Roman" w:hAnsi="Arial" w:cs="Arial"/>
                <w:b/>
                <w:bCs/>
                <w:sz w:val="20"/>
                <w:szCs w:val="20"/>
                <w:lang w:eastAsia="es-CR"/>
              </w:rPr>
            </w:pPr>
            <w:r>
              <w:rPr>
                <w:rFonts w:ascii="Arial" w:eastAsia="Times New Roman" w:hAnsi="Arial" w:cs="Arial"/>
                <w:b/>
                <w:bCs/>
                <w:sz w:val="20"/>
                <w:szCs w:val="20"/>
                <w:lang w:eastAsia="es-CR"/>
              </w:rPr>
              <w:t xml:space="preserve">c) </w:t>
            </w:r>
            <w:r w:rsidRPr="00167656">
              <w:rPr>
                <w:rFonts w:ascii="Arial" w:eastAsia="Times New Roman" w:hAnsi="Arial" w:cs="Arial"/>
                <w:b/>
                <w:bCs/>
                <w:sz w:val="20"/>
                <w:szCs w:val="20"/>
                <w:lang w:eastAsia="es-CR"/>
              </w:rPr>
              <w:t>Medidas correctivas o acciones de mejora (realizadas y por realizar) para el logro de la meta</w:t>
            </w:r>
          </w:p>
        </w:tc>
        <w:tc>
          <w:tcPr>
            <w:tcW w:w="2642" w:type="pct"/>
            <w:shd w:val="clear" w:color="auto" w:fill="auto"/>
          </w:tcPr>
          <w:p w:rsidR="00167656" w:rsidRPr="00167656" w:rsidRDefault="00167656" w:rsidP="00167656">
            <w:pPr>
              <w:spacing w:after="0" w:line="240" w:lineRule="auto"/>
              <w:jc w:val="both"/>
              <w:rPr>
                <w:rFonts w:ascii="Arial" w:eastAsia="Times New Roman" w:hAnsi="Arial" w:cs="Arial"/>
                <w:bCs/>
                <w:sz w:val="20"/>
                <w:szCs w:val="20"/>
                <w:lang w:eastAsia="es-CR"/>
              </w:rPr>
            </w:pPr>
          </w:p>
        </w:tc>
      </w:tr>
      <w:tr w:rsidR="00672FF2" w:rsidRPr="00167656" w:rsidTr="002D5BDD">
        <w:trPr>
          <w:trHeight w:val="850"/>
        </w:trPr>
        <w:tc>
          <w:tcPr>
            <w:tcW w:w="2358" w:type="pct"/>
            <w:shd w:val="clear" w:color="auto" w:fill="auto"/>
          </w:tcPr>
          <w:p w:rsidR="00672FF2" w:rsidRPr="00167656" w:rsidRDefault="00672FF2" w:rsidP="00672FF2">
            <w:pPr>
              <w:rPr>
                <w:rFonts w:ascii="Arial" w:eastAsia="Times New Roman" w:hAnsi="Arial" w:cs="Arial"/>
                <w:b/>
                <w:bCs/>
                <w:sz w:val="20"/>
                <w:szCs w:val="20"/>
                <w:lang w:eastAsia="es-CR"/>
              </w:rPr>
            </w:pPr>
            <w:r w:rsidRPr="00167656">
              <w:rPr>
                <w:rFonts w:ascii="Arial" w:eastAsia="Times New Roman" w:hAnsi="Arial" w:cs="Arial"/>
                <w:b/>
                <w:bCs/>
                <w:sz w:val="20"/>
                <w:szCs w:val="20"/>
                <w:lang w:eastAsia="es-CR"/>
              </w:rPr>
              <w:t>Observaciones:</w:t>
            </w:r>
          </w:p>
        </w:tc>
        <w:tc>
          <w:tcPr>
            <w:tcW w:w="2642" w:type="pct"/>
            <w:shd w:val="clear" w:color="auto" w:fill="auto"/>
          </w:tcPr>
          <w:p w:rsidR="00672FF2" w:rsidRPr="00167656" w:rsidRDefault="00672FF2" w:rsidP="00167656">
            <w:pPr>
              <w:spacing w:after="0" w:line="240" w:lineRule="auto"/>
              <w:jc w:val="both"/>
              <w:rPr>
                <w:rFonts w:ascii="Arial" w:eastAsia="Times New Roman" w:hAnsi="Arial" w:cs="Arial"/>
                <w:bCs/>
                <w:sz w:val="20"/>
                <w:szCs w:val="20"/>
                <w:lang w:eastAsia="es-CR"/>
              </w:rPr>
            </w:pPr>
            <w:r w:rsidRPr="00167656">
              <w:rPr>
                <w:rFonts w:ascii="Arial" w:eastAsia="Times New Roman" w:hAnsi="Arial" w:cs="Arial"/>
                <w:bCs/>
                <w:sz w:val="20"/>
                <w:szCs w:val="20"/>
                <w:lang w:eastAsia="es-CR"/>
              </w:rPr>
              <w:t>- El alcance del proyecto se amplió en más del 80%, pasando de 82 a 150 soluciones de vivienda, como resultado de un estudio de factibilidad más profundo.</w:t>
            </w:r>
          </w:p>
          <w:p w:rsidR="00672FF2" w:rsidRPr="00167656" w:rsidRDefault="00672FF2" w:rsidP="00167656">
            <w:pPr>
              <w:spacing w:after="0" w:line="240" w:lineRule="auto"/>
              <w:jc w:val="both"/>
              <w:rPr>
                <w:rFonts w:ascii="Arial" w:eastAsia="Times New Roman" w:hAnsi="Arial" w:cs="Arial"/>
                <w:bCs/>
                <w:sz w:val="20"/>
                <w:szCs w:val="20"/>
                <w:lang w:eastAsia="es-CR"/>
              </w:rPr>
            </w:pPr>
            <w:r w:rsidRPr="00167656">
              <w:rPr>
                <w:rFonts w:ascii="Arial" w:eastAsia="Times New Roman" w:hAnsi="Arial" w:cs="Arial"/>
                <w:bCs/>
                <w:sz w:val="20"/>
                <w:szCs w:val="20"/>
                <w:lang w:eastAsia="es-CR"/>
              </w:rPr>
              <w:t>- El inicio de la etapa de ejecución está programada para el 2018.</w:t>
            </w:r>
          </w:p>
        </w:tc>
      </w:tr>
    </w:tbl>
    <w:p w:rsidR="00672FF2" w:rsidRPr="00167656" w:rsidRDefault="00672FF2" w:rsidP="00167656">
      <w:pPr>
        <w:spacing w:after="0" w:line="240" w:lineRule="auto"/>
        <w:jc w:val="both"/>
        <w:rPr>
          <w:rFonts w:ascii="Arial" w:eastAsia="Times New Roman" w:hAnsi="Arial" w:cs="Arial"/>
          <w:bCs/>
          <w:color w:val="000000"/>
          <w:sz w:val="18"/>
          <w:szCs w:val="18"/>
          <w:lang w:eastAsia="es-CR"/>
        </w:rPr>
      </w:pPr>
      <w:r w:rsidRPr="00167656">
        <w:rPr>
          <w:rFonts w:ascii="Arial" w:eastAsia="Times New Roman" w:hAnsi="Arial" w:cs="Arial"/>
          <w:bCs/>
          <w:color w:val="000000"/>
          <w:sz w:val="18"/>
          <w:szCs w:val="18"/>
          <w:lang w:eastAsia="es-CR"/>
        </w:rPr>
        <w:t>Nota Fuente: Informe de rendimiento de cuentas de área. (2017)</w:t>
      </w:r>
    </w:p>
    <w:p w:rsidR="00672FF2" w:rsidRPr="00672FF2" w:rsidRDefault="00672FF2" w:rsidP="00672FF2">
      <w:pPr>
        <w:rPr>
          <w:rFonts w:ascii="Arial" w:eastAsia="Times New Roman" w:hAnsi="Arial" w:cs="Arial"/>
          <w:b/>
          <w:bCs/>
          <w:color w:val="000000"/>
          <w:sz w:val="20"/>
          <w:szCs w:val="20"/>
          <w:lang w:eastAsia="es-CR"/>
        </w:rPr>
      </w:pPr>
      <w:r w:rsidRPr="00672FF2">
        <w:rPr>
          <w:rFonts w:ascii="Arial" w:eastAsia="Times New Roman" w:hAnsi="Arial" w:cs="Arial"/>
          <w:b/>
          <w:bCs/>
          <w:color w:val="000000"/>
          <w:sz w:val="20"/>
          <w:szCs w:val="20"/>
          <w:lang w:eastAsia="es-CR"/>
        </w:rPr>
        <w:br w:type="page"/>
      </w:r>
      <w:r w:rsidRPr="00672FF2">
        <w:rPr>
          <w:rFonts w:ascii="Arial" w:eastAsia="Times New Roman" w:hAnsi="Arial" w:cs="Arial"/>
          <w:b/>
          <w:bCs/>
          <w:color w:val="000000"/>
          <w:sz w:val="20"/>
          <w:szCs w:val="20"/>
          <w:lang w:eastAsia="es-CR"/>
        </w:rPr>
        <w:lastRenderedPageBreak/>
        <w:t xml:space="preserve"> </w:t>
      </w:r>
    </w:p>
    <w:p w:rsidR="00672FF2" w:rsidRPr="00167656" w:rsidRDefault="00672FF2" w:rsidP="00167656">
      <w:pPr>
        <w:spacing w:after="0" w:line="240" w:lineRule="auto"/>
        <w:jc w:val="both"/>
        <w:rPr>
          <w:rFonts w:ascii="Arial" w:eastAsia="Times New Roman" w:hAnsi="Arial" w:cs="Arial"/>
          <w:b/>
          <w:bCs/>
          <w:sz w:val="20"/>
          <w:szCs w:val="20"/>
          <w:lang w:eastAsia="es-CR"/>
        </w:rPr>
      </w:pPr>
      <w:r w:rsidRPr="00167656">
        <w:rPr>
          <w:rFonts w:ascii="Arial" w:eastAsia="Times New Roman" w:hAnsi="Arial" w:cs="Arial"/>
          <w:b/>
          <w:bCs/>
          <w:sz w:val="20"/>
          <w:szCs w:val="20"/>
          <w:lang w:eastAsia="es-CR"/>
        </w:rPr>
        <w:t>PROYECTO PREMIO NOBEL</w:t>
      </w:r>
    </w:p>
    <w:p w:rsidR="00672FF2" w:rsidRPr="00167656" w:rsidRDefault="00672FF2" w:rsidP="00167656">
      <w:pPr>
        <w:spacing w:after="0" w:line="240" w:lineRule="auto"/>
        <w:jc w:val="both"/>
        <w:rPr>
          <w:rFonts w:ascii="Arial" w:eastAsia="Times New Roman" w:hAnsi="Arial" w:cs="Arial"/>
          <w:b/>
          <w:bCs/>
          <w:sz w:val="20"/>
          <w:szCs w:val="20"/>
          <w:lang w:eastAsia="es-CR"/>
        </w:rPr>
      </w:pPr>
    </w:p>
    <w:p w:rsidR="00672FF2" w:rsidRPr="00167656" w:rsidRDefault="00672FF2" w:rsidP="00167656">
      <w:pPr>
        <w:spacing w:after="0" w:line="240" w:lineRule="auto"/>
        <w:jc w:val="both"/>
        <w:rPr>
          <w:rFonts w:ascii="Arial" w:eastAsia="Times New Roman" w:hAnsi="Arial" w:cs="Arial"/>
          <w:b/>
          <w:bCs/>
          <w:sz w:val="20"/>
          <w:szCs w:val="20"/>
          <w:lang w:eastAsia="es-CR"/>
        </w:rPr>
      </w:pPr>
      <w:r w:rsidRPr="00167656">
        <w:rPr>
          <w:rFonts w:ascii="Arial" w:eastAsia="Times New Roman" w:hAnsi="Arial" w:cs="Arial"/>
          <w:b/>
          <w:bCs/>
          <w:sz w:val="20"/>
          <w:szCs w:val="20"/>
          <w:lang w:eastAsia="es-CR"/>
        </w:rPr>
        <w:t>Indicador N°32 Porcentaje de avance en la etapa de ejecución</w:t>
      </w:r>
    </w:p>
    <w:p w:rsidR="00672FF2" w:rsidRPr="00167656" w:rsidRDefault="00672FF2" w:rsidP="00167656">
      <w:pPr>
        <w:spacing w:after="0" w:line="240" w:lineRule="auto"/>
        <w:jc w:val="both"/>
        <w:rPr>
          <w:rFonts w:ascii="Arial" w:eastAsia="Times New Roman" w:hAnsi="Arial" w:cs="Arial"/>
          <w:b/>
          <w:bCs/>
          <w:sz w:val="20"/>
          <w:szCs w:val="20"/>
          <w:lang w:eastAsia="es-CR"/>
        </w:rPr>
      </w:pPr>
    </w:p>
    <w:p w:rsidR="00672FF2" w:rsidRPr="00167656" w:rsidRDefault="00672FF2" w:rsidP="00167656">
      <w:pPr>
        <w:spacing w:after="0" w:line="240" w:lineRule="auto"/>
        <w:jc w:val="both"/>
        <w:rPr>
          <w:rFonts w:ascii="Arial" w:eastAsia="Times New Roman" w:hAnsi="Arial" w:cs="Arial"/>
          <w:bCs/>
          <w:sz w:val="20"/>
          <w:szCs w:val="20"/>
          <w:lang w:eastAsia="es-CR"/>
        </w:rPr>
      </w:pPr>
      <w:r w:rsidRPr="00167656">
        <w:rPr>
          <w:rFonts w:ascii="Arial" w:eastAsia="Times New Roman" w:hAnsi="Arial" w:cs="Arial"/>
          <w:bCs/>
          <w:sz w:val="20"/>
          <w:szCs w:val="20"/>
          <w:lang w:eastAsia="es-CR"/>
        </w:rPr>
        <w:t>A diciembre el proyecto no presenta avance porque se encuentra en proceso la adjudicación de la empresa, que va a realizar el diseño y construcción.</w:t>
      </w:r>
    </w:p>
    <w:p w:rsidR="00672FF2" w:rsidRPr="00167656" w:rsidRDefault="00672FF2" w:rsidP="00167656">
      <w:pPr>
        <w:spacing w:after="0" w:line="240" w:lineRule="auto"/>
        <w:jc w:val="both"/>
        <w:rPr>
          <w:rFonts w:ascii="Arial" w:eastAsia="Times New Roman" w:hAnsi="Arial" w:cs="Arial"/>
          <w:bCs/>
          <w:sz w:val="20"/>
          <w:szCs w:val="20"/>
          <w:lang w:eastAsia="es-CR"/>
        </w:rPr>
      </w:pPr>
    </w:p>
    <w:p w:rsidR="00672FF2" w:rsidRPr="00167656" w:rsidRDefault="00672FF2" w:rsidP="00167656">
      <w:pPr>
        <w:spacing w:after="0" w:line="240" w:lineRule="auto"/>
        <w:jc w:val="both"/>
        <w:rPr>
          <w:rFonts w:ascii="Arial" w:eastAsia="Times New Roman" w:hAnsi="Arial" w:cs="Arial"/>
          <w:bCs/>
          <w:sz w:val="20"/>
          <w:szCs w:val="20"/>
          <w:lang w:eastAsia="es-CR"/>
        </w:rPr>
      </w:pPr>
    </w:p>
    <w:p w:rsidR="00672FF2" w:rsidRPr="00167656" w:rsidRDefault="00672FF2" w:rsidP="00167656">
      <w:pPr>
        <w:spacing w:after="0" w:line="240" w:lineRule="auto"/>
        <w:jc w:val="both"/>
        <w:rPr>
          <w:rFonts w:ascii="Arial" w:eastAsia="Times New Roman" w:hAnsi="Arial" w:cs="Arial"/>
          <w:bCs/>
          <w:sz w:val="20"/>
          <w:szCs w:val="20"/>
          <w:lang w:eastAsia="es-CR"/>
        </w:rPr>
      </w:pPr>
      <w:r w:rsidRPr="00167656">
        <w:rPr>
          <w:rFonts w:ascii="Arial" w:eastAsia="Times New Roman" w:hAnsi="Arial" w:cs="Arial"/>
          <w:bCs/>
          <w:sz w:val="20"/>
          <w:szCs w:val="20"/>
          <w:lang w:eastAsia="es-CR"/>
        </w:rPr>
        <w:t>Seguidamente se muestra un detalle de lo actuado:</w:t>
      </w:r>
    </w:p>
    <w:tbl>
      <w:tblPr>
        <w:tblW w:w="9103" w:type="dxa"/>
        <w:tblBorders>
          <w:insideH w:val="single" w:sz="6" w:space="0" w:color="000000"/>
          <w:insideV w:val="single" w:sz="6" w:space="0" w:color="000000"/>
        </w:tblBorders>
        <w:tblLook w:val="04A0" w:firstRow="1" w:lastRow="0" w:firstColumn="1" w:lastColumn="0" w:noHBand="0" w:noVBand="1"/>
      </w:tblPr>
      <w:tblGrid>
        <w:gridCol w:w="4293"/>
        <w:gridCol w:w="4810"/>
      </w:tblGrid>
      <w:tr w:rsidR="00672FF2" w:rsidRPr="00167656" w:rsidTr="002D5BDD">
        <w:trPr>
          <w:trHeight w:val="270"/>
        </w:trPr>
        <w:tc>
          <w:tcPr>
            <w:tcW w:w="5000" w:type="pct"/>
            <w:gridSpan w:val="2"/>
            <w:shd w:val="clear" w:color="auto" w:fill="auto"/>
            <w:noWrap/>
            <w:hideMark/>
          </w:tcPr>
          <w:p w:rsidR="00672FF2" w:rsidRPr="00167656" w:rsidRDefault="00672FF2" w:rsidP="00167656">
            <w:pPr>
              <w:spacing w:after="0" w:line="240" w:lineRule="auto"/>
              <w:jc w:val="both"/>
              <w:rPr>
                <w:rFonts w:ascii="Arial" w:eastAsia="Times New Roman" w:hAnsi="Arial" w:cs="Arial"/>
                <w:b/>
                <w:bCs/>
                <w:sz w:val="20"/>
                <w:szCs w:val="20"/>
                <w:lang w:eastAsia="es-CR"/>
              </w:rPr>
            </w:pPr>
          </w:p>
          <w:p w:rsidR="00672FF2" w:rsidRPr="00167656" w:rsidRDefault="00672FF2" w:rsidP="00167656">
            <w:pPr>
              <w:spacing w:after="0" w:line="240" w:lineRule="auto"/>
              <w:jc w:val="center"/>
              <w:rPr>
                <w:rFonts w:ascii="Arial" w:eastAsia="Times New Roman" w:hAnsi="Arial" w:cs="Arial"/>
                <w:b/>
                <w:bCs/>
                <w:sz w:val="20"/>
                <w:szCs w:val="20"/>
                <w:lang w:eastAsia="es-CR"/>
              </w:rPr>
            </w:pPr>
            <w:r w:rsidRPr="00167656">
              <w:rPr>
                <w:rFonts w:ascii="Arial" w:eastAsia="Times New Roman" w:hAnsi="Arial" w:cs="Arial"/>
                <w:b/>
                <w:bCs/>
                <w:sz w:val="20"/>
                <w:szCs w:val="20"/>
                <w:lang w:eastAsia="es-CR"/>
              </w:rPr>
              <w:t>Tabla 27 Acciones Realizadas</w:t>
            </w:r>
          </w:p>
        </w:tc>
      </w:tr>
      <w:tr w:rsidR="00672FF2" w:rsidRPr="00167656" w:rsidTr="002D5BDD">
        <w:trPr>
          <w:trHeight w:val="825"/>
        </w:trPr>
        <w:tc>
          <w:tcPr>
            <w:tcW w:w="2358" w:type="pct"/>
            <w:shd w:val="clear" w:color="auto" w:fill="auto"/>
            <w:hideMark/>
          </w:tcPr>
          <w:p w:rsidR="00672FF2" w:rsidRPr="00167656" w:rsidRDefault="00672FF2" w:rsidP="00167656">
            <w:pPr>
              <w:spacing w:after="0" w:line="240" w:lineRule="auto"/>
              <w:jc w:val="both"/>
              <w:rPr>
                <w:rFonts w:ascii="Arial" w:eastAsia="Times New Roman" w:hAnsi="Arial" w:cs="Arial"/>
                <w:b/>
                <w:bCs/>
                <w:sz w:val="20"/>
                <w:szCs w:val="20"/>
                <w:lang w:eastAsia="es-CR"/>
              </w:rPr>
            </w:pPr>
            <w:r w:rsidRPr="00167656">
              <w:rPr>
                <w:rFonts w:ascii="Arial" w:eastAsia="Times New Roman" w:hAnsi="Arial" w:cs="Arial"/>
                <w:b/>
                <w:bCs/>
                <w:sz w:val="20"/>
                <w:szCs w:val="20"/>
                <w:lang w:eastAsia="es-CR"/>
              </w:rPr>
              <w:t>a) Actividades realizadas:</w:t>
            </w:r>
          </w:p>
        </w:tc>
        <w:tc>
          <w:tcPr>
            <w:tcW w:w="2642" w:type="pct"/>
            <w:shd w:val="clear" w:color="auto" w:fill="auto"/>
          </w:tcPr>
          <w:p w:rsidR="00672FF2" w:rsidRPr="00167656" w:rsidRDefault="00672FF2" w:rsidP="00167656">
            <w:pPr>
              <w:spacing w:after="0" w:line="240" w:lineRule="auto"/>
              <w:jc w:val="both"/>
              <w:rPr>
                <w:rFonts w:ascii="Arial" w:eastAsia="Times New Roman" w:hAnsi="Arial" w:cs="Arial"/>
                <w:bCs/>
                <w:sz w:val="20"/>
                <w:szCs w:val="20"/>
                <w:lang w:eastAsia="es-CR"/>
              </w:rPr>
            </w:pPr>
            <w:r w:rsidRPr="00167656">
              <w:rPr>
                <w:rFonts w:ascii="Arial" w:eastAsia="Times New Roman" w:hAnsi="Arial" w:cs="Arial"/>
                <w:bCs/>
                <w:sz w:val="20"/>
                <w:szCs w:val="20"/>
                <w:lang w:eastAsia="es-CR"/>
              </w:rPr>
              <w:t>- Se realizó el análisis, preparación de documentación y se envió a la Junta Directiva del INVU, para la adjudicación en firme de la empresa que va a realizar el diseño y construcción.</w:t>
            </w:r>
          </w:p>
          <w:p w:rsidR="00672FF2" w:rsidRPr="00167656" w:rsidRDefault="00672FF2" w:rsidP="00167656">
            <w:pPr>
              <w:spacing w:after="0" w:line="240" w:lineRule="auto"/>
              <w:jc w:val="both"/>
              <w:rPr>
                <w:rFonts w:ascii="Arial" w:eastAsia="Times New Roman" w:hAnsi="Arial" w:cs="Arial"/>
                <w:bCs/>
                <w:sz w:val="20"/>
                <w:szCs w:val="20"/>
                <w:lang w:eastAsia="es-CR"/>
              </w:rPr>
            </w:pPr>
            <w:r w:rsidRPr="00167656">
              <w:rPr>
                <w:rFonts w:ascii="Arial" w:eastAsia="Times New Roman" w:hAnsi="Arial" w:cs="Arial"/>
                <w:bCs/>
                <w:sz w:val="20"/>
                <w:szCs w:val="20"/>
                <w:lang w:eastAsia="es-CR"/>
              </w:rPr>
              <w:t>- El contrato para ejecutar las obras fue remitido a  la Contraloría General de la República (CGR) para obtener el refrendo, como respuesta se recibió el oficio DCA-3436 con fecha 12 de diciembre de 2017, donde solicita respuesta a una serie de interrogantes, para posteriormente  emitir criterio con respecto al refrendo solicitado.</w:t>
            </w:r>
          </w:p>
          <w:p w:rsidR="00672FF2" w:rsidRPr="00167656" w:rsidRDefault="00672FF2" w:rsidP="00167656">
            <w:pPr>
              <w:spacing w:after="0" w:line="240" w:lineRule="auto"/>
              <w:jc w:val="both"/>
              <w:rPr>
                <w:rFonts w:ascii="Arial" w:eastAsia="Times New Roman" w:hAnsi="Arial" w:cs="Arial"/>
                <w:bCs/>
                <w:sz w:val="20"/>
                <w:szCs w:val="20"/>
                <w:lang w:eastAsia="es-CR"/>
              </w:rPr>
            </w:pPr>
          </w:p>
        </w:tc>
      </w:tr>
      <w:tr w:rsidR="00672FF2" w:rsidRPr="00167656" w:rsidTr="002D5BDD">
        <w:trPr>
          <w:trHeight w:val="705"/>
        </w:trPr>
        <w:tc>
          <w:tcPr>
            <w:tcW w:w="2358" w:type="pct"/>
            <w:shd w:val="clear" w:color="auto" w:fill="auto"/>
            <w:hideMark/>
          </w:tcPr>
          <w:p w:rsidR="00672FF2" w:rsidRPr="00167656" w:rsidRDefault="00672FF2" w:rsidP="00167656">
            <w:pPr>
              <w:spacing w:after="0" w:line="240" w:lineRule="auto"/>
              <w:jc w:val="both"/>
              <w:rPr>
                <w:rFonts w:ascii="Arial" w:eastAsia="Times New Roman" w:hAnsi="Arial" w:cs="Arial"/>
                <w:b/>
                <w:bCs/>
                <w:sz w:val="20"/>
                <w:szCs w:val="20"/>
                <w:lang w:eastAsia="es-CR"/>
              </w:rPr>
            </w:pPr>
            <w:r w:rsidRPr="00167656">
              <w:rPr>
                <w:rFonts w:ascii="Arial" w:eastAsia="Times New Roman" w:hAnsi="Arial" w:cs="Arial"/>
                <w:b/>
                <w:bCs/>
                <w:sz w:val="20"/>
                <w:szCs w:val="20"/>
                <w:lang w:eastAsia="es-CR"/>
              </w:rPr>
              <w:t xml:space="preserve">b) Limitaciones: </w:t>
            </w:r>
          </w:p>
          <w:p w:rsidR="00672FF2" w:rsidRPr="00167656" w:rsidRDefault="00672FF2" w:rsidP="00167656">
            <w:pPr>
              <w:spacing w:after="0" w:line="240" w:lineRule="auto"/>
              <w:jc w:val="both"/>
              <w:rPr>
                <w:rFonts w:ascii="Arial" w:eastAsia="Times New Roman" w:hAnsi="Arial" w:cs="Arial"/>
                <w:b/>
                <w:bCs/>
                <w:sz w:val="20"/>
                <w:szCs w:val="20"/>
                <w:lang w:eastAsia="es-CR"/>
              </w:rPr>
            </w:pPr>
          </w:p>
          <w:p w:rsidR="00672FF2" w:rsidRPr="00167656" w:rsidRDefault="00672FF2" w:rsidP="00167656">
            <w:pPr>
              <w:spacing w:after="0" w:line="240" w:lineRule="auto"/>
              <w:jc w:val="both"/>
              <w:rPr>
                <w:rFonts w:ascii="Arial" w:eastAsia="Times New Roman" w:hAnsi="Arial" w:cs="Arial"/>
                <w:b/>
                <w:bCs/>
                <w:sz w:val="20"/>
                <w:szCs w:val="20"/>
                <w:lang w:eastAsia="es-CR"/>
              </w:rPr>
            </w:pPr>
          </w:p>
        </w:tc>
        <w:tc>
          <w:tcPr>
            <w:tcW w:w="2642" w:type="pct"/>
            <w:shd w:val="clear" w:color="auto" w:fill="auto"/>
          </w:tcPr>
          <w:p w:rsidR="00672FF2" w:rsidRPr="00167656" w:rsidRDefault="00672FF2" w:rsidP="00167656">
            <w:pPr>
              <w:spacing w:after="0" w:line="240" w:lineRule="auto"/>
              <w:jc w:val="both"/>
              <w:rPr>
                <w:rFonts w:ascii="Arial" w:eastAsia="Times New Roman" w:hAnsi="Arial" w:cs="Arial"/>
                <w:bCs/>
                <w:sz w:val="20"/>
                <w:szCs w:val="20"/>
                <w:lang w:eastAsia="es-CR"/>
              </w:rPr>
            </w:pPr>
            <w:r w:rsidRPr="00167656">
              <w:rPr>
                <w:rFonts w:ascii="Arial" w:eastAsia="Times New Roman" w:hAnsi="Arial" w:cs="Arial"/>
                <w:bCs/>
                <w:sz w:val="20"/>
                <w:szCs w:val="20"/>
                <w:lang w:eastAsia="es-CR"/>
              </w:rPr>
              <w:t>- Tiempo requerido por parte de la Junta Directiva para la aprobación de la contratación.</w:t>
            </w:r>
          </w:p>
          <w:p w:rsidR="00672FF2" w:rsidRPr="00167656" w:rsidRDefault="00672FF2" w:rsidP="00167656">
            <w:pPr>
              <w:spacing w:after="0" w:line="240" w:lineRule="auto"/>
              <w:jc w:val="both"/>
              <w:rPr>
                <w:rFonts w:ascii="Arial" w:eastAsia="Times New Roman" w:hAnsi="Arial" w:cs="Arial"/>
                <w:bCs/>
                <w:sz w:val="20"/>
                <w:szCs w:val="20"/>
                <w:lang w:eastAsia="es-CR"/>
              </w:rPr>
            </w:pPr>
            <w:r w:rsidRPr="00167656">
              <w:rPr>
                <w:rFonts w:ascii="Arial" w:eastAsia="Times New Roman" w:hAnsi="Arial" w:cs="Arial"/>
                <w:bCs/>
                <w:sz w:val="20"/>
                <w:szCs w:val="20"/>
                <w:lang w:eastAsia="es-CR"/>
              </w:rPr>
              <w:t>- Tiempo requerido por parte de la CGR para el refrendo del contrato.</w:t>
            </w:r>
          </w:p>
          <w:p w:rsidR="00672FF2" w:rsidRPr="00167656" w:rsidRDefault="00672FF2" w:rsidP="00167656">
            <w:pPr>
              <w:spacing w:after="0" w:line="240" w:lineRule="auto"/>
              <w:jc w:val="both"/>
              <w:rPr>
                <w:rFonts w:ascii="Arial" w:eastAsia="Times New Roman" w:hAnsi="Arial" w:cs="Arial"/>
                <w:bCs/>
                <w:sz w:val="20"/>
                <w:szCs w:val="20"/>
                <w:lang w:eastAsia="es-CR"/>
              </w:rPr>
            </w:pPr>
          </w:p>
        </w:tc>
      </w:tr>
      <w:tr w:rsidR="00672FF2" w:rsidRPr="00167656" w:rsidTr="002D5BDD">
        <w:trPr>
          <w:trHeight w:val="471"/>
        </w:trPr>
        <w:tc>
          <w:tcPr>
            <w:tcW w:w="2358" w:type="pct"/>
            <w:shd w:val="clear" w:color="auto" w:fill="auto"/>
            <w:hideMark/>
          </w:tcPr>
          <w:p w:rsidR="00672FF2" w:rsidRPr="00167656" w:rsidRDefault="00672FF2" w:rsidP="00167656">
            <w:pPr>
              <w:spacing w:after="0" w:line="240" w:lineRule="auto"/>
              <w:jc w:val="both"/>
              <w:rPr>
                <w:rFonts w:ascii="Arial" w:eastAsia="Times New Roman" w:hAnsi="Arial" w:cs="Arial"/>
                <w:b/>
                <w:bCs/>
                <w:sz w:val="20"/>
                <w:szCs w:val="20"/>
                <w:lang w:eastAsia="es-CR"/>
              </w:rPr>
            </w:pPr>
            <w:r w:rsidRPr="00167656">
              <w:rPr>
                <w:rFonts w:ascii="Arial" w:eastAsia="Times New Roman" w:hAnsi="Arial" w:cs="Arial"/>
                <w:b/>
                <w:bCs/>
                <w:sz w:val="20"/>
                <w:szCs w:val="20"/>
                <w:lang w:eastAsia="es-CR"/>
              </w:rPr>
              <w:t>c) Medidas correctivas o acciones de mejora (realizadas y por realizar) para el logro de la meta:</w:t>
            </w:r>
          </w:p>
          <w:p w:rsidR="00672FF2" w:rsidRPr="00167656" w:rsidRDefault="00672FF2" w:rsidP="00167656">
            <w:pPr>
              <w:spacing w:after="0" w:line="240" w:lineRule="auto"/>
              <w:jc w:val="both"/>
              <w:rPr>
                <w:rFonts w:ascii="Arial" w:eastAsia="Times New Roman" w:hAnsi="Arial" w:cs="Arial"/>
                <w:b/>
                <w:bCs/>
                <w:sz w:val="20"/>
                <w:szCs w:val="20"/>
                <w:lang w:eastAsia="es-CR"/>
              </w:rPr>
            </w:pPr>
          </w:p>
          <w:p w:rsidR="00672FF2" w:rsidRPr="00167656" w:rsidRDefault="00672FF2" w:rsidP="00167656">
            <w:pPr>
              <w:spacing w:after="0" w:line="240" w:lineRule="auto"/>
              <w:jc w:val="both"/>
              <w:rPr>
                <w:rFonts w:ascii="Arial" w:eastAsia="Times New Roman" w:hAnsi="Arial" w:cs="Arial"/>
                <w:b/>
                <w:bCs/>
                <w:sz w:val="20"/>
                <w:szCs w:val="20"/>
                <w:lang w:eastAsia="es-CR"/>
              </w:rPr>
            </w:pPr>
          </w:p>
        </w:tc>
        <w:tc>
          <w:tcPr>
            <w:tcW w:w="2642" w:type="pct"/>
            <w:shd w:val="clear" w:color="auto" w:fill="auto"/>
          </w:tcPr>
          <w:p w:rsidR="00672FF2" w:rsidRPr="00167656" w:rsidRDefault="00672FF2" w:rsidP="00167656">
            <w:pPr>
              <w:spacing w:after="0" w:line="240" w:lineRule="auto"/>
              <w:jc w:val="both"/>
              <w:rPr>
                <w:rFonts w:ascii="Arial" w:eastAsia="Times New Roman" w:hAnsi="Arial" w:cs="Arial"/>
                <w:bCs/>
                <w:sz w:val="20"/>
                <w:szCs w:val="20"/>
                <w:lang w:eastAsia="es-CR"/>
              </w:rPr>
            </w:pPr>
            <w:r w:rsidRPr="00167656">
              <w:rPr>
                <w:rFonts w:ascii="Arial" w:eastAsia="Times New Roman" w:hAnsi="Arial" w:cs="Arial"/>
                <w:bCs/>
                <w:sz w:val="20"/>
                <w:szCs w:val="20"/>
                <w:lang w:eastAsia="es-CR"/>
              </w:rPr>
              <w:t>- Justificar y sustentar ampliamente y en forma amplia la solicitud realizada por la CGR, en el oficio DCA-3436.</w:t>
            </w:r>
          </w:p>
          <w:p w:rsidR="00672FF2" w:rsidRPr="00167656" w:rsidRDefault="00672FF2" w:rsidP="00167656">
            <w:pPr>
              <w:spacing w:after="0" w:line="240" w:lineRule="auto"/>
              <w:jc w:val="both"/>
              <w:rPr>
                <w:rFonts w:ascii="Arial" w:eastAsia="Times New Roman" w:hAnsi="Arial" w:cs="Arial"/>
                <w:bCs/>
                <w:sz w:val="20"/>
                <w:szCs w:val="20"/>
                <w:lang w:eastAsia="es-CR"/>
              </w:rPr>
            </w:pPr>
          </w:p>
        </w:tc>
      </w:tr>
      <w:tr w:rsidR="00672FF2" w:rsidRPr="00167656" w:rsidTr="002D5BDD">
        <w:trPr>
          <w:trHeight w:val="850"/>
        </w:trPr>
        <w:tc>
          <w:tcPr>
            <w:tcW w:w="2358" w:type="pct"/>
            <w:shd w:val="clear" w:color="auto" w:fill="auto"/>
          </w:tcPr>
          <w:p w:rsidR="00672FF2" w:rsidRPr="00167656" w:rsidRDefault="00672FF2" w:rsidP="00167656">
            <w:pPr>
              <w:spacing w:after="0" w:line="240" w:lineRule="auto"/>
              <w:jc w:val="both"/>
              <w:rPr>
                <w:rFonts w:ascii="Arial" w:eastAsia="Times New Roman" w:hAnsi="Arial" w:cs="Arial"/>
                <w:b/>
                <w:bCs/>
                <w:sz w:val="20"/>
                <w:szCs w:val="20"/>
                <w:lang w:eastAsia="es-CR"/>
              </w:rPr>
            </w:pPr>
            <w:r w:rsidRPr="00167656">
              <w:rPr>
                <w:rFonts w:ascii="Arial" w:eastAsia="Times New Roman" w:hAnsi="Arial" w:cs="Arial"/>
                <w:b/>
                <w:bCs/>
                <w:sz w:val="20"/>
                <w:szCs w:val="20"/>
                <w:lang w:eastAsia="es-CR"/>
              </w:rPr>
              <w:t>Observaciones:</w:t>
            </w:r>
          </w:p>
        </w:tc>
        <w:tc>
          <w:tcPr>
            <w:tcW w:w="2642" w:type="pct"/>
            <w:shd w:val="clear" w:color="auto" w:fill="auto"/>
          </w:tcPr>
          <w:p w:rsidR="00672FF2" w:rsidRPr="00167656" w:rsidRDefault="00672FF2" w:rsidP="00167656">
            <w:pPr>
              <w:spacing w:after="0" w:line="240" w:lineRule="auto"/>
              <w:jc w:val="both"/>
              <w:rPr>
                <w:rFonts w:ascii="Arial" w:eastAsia="Times New Roman" w:hAnsi="Arial" w:cs="Arial"/>
                <w:b/>
                <w:bCs/>
                <w:sz w:val="20"/>
                <w:szCs w:val="20"/>
                <w:lang w:eastAsia="es-CR"/>
              </w:rPr>
            </w:pPr>
          </w:p>
        </w:tc>
      </w:tr>
    </w:tbl>
    <w:p w:rsidR="00672FF2" w:rsidRPr="00167656" w:rsidRDefault="00672FF2" w:rsidP="00167656">
      <w:pPr>
        <w:spacing w:after="0" w:line="240" w:lineRule="auto"/>
        <w:jc w:val="both"/>
        <w:rPr>
          <w:rFonts w:ascii="Arial" w:eastAsia="Times New Roman" w:hAnsi="Arial" w:cs="Arial"/>
          <w:b/>
          <w:bCs/>
          <w:sz w:val="20"/>
          <w:szCs w:val="20"/>
          <w:lang w:eastAsia="es-CR"/>
        </w:rPr>
      </w:pPr>
    </w:p>
    <w:p w:rsidR="00672FF2" w:rsidRPr="00167656" w:rsidRDefault="00672FF2" w:rsidP="00167656">
      <w:pPr>
        <w:spacing w:after="0" w:line="240" w:lineRule="auto"/>
        <w:jc w:val="both"/>
        <w:rPr>
          <w:rFonts w:ascii="Arial" w:eastAsia="Times New Roman" w:hAnsi="Arial" w:cs="Arial"/>
          <w:bCs/>
          <w:sz w:val="18"/>
          <w:szCs w:val="18"/>
          <w:lang w:eastAsia="es-CR"/>
        </w:rPr>
      </w:pPr>
      <w:r w:rsidRPr="00167656">
        <w:rPr>
          <w:rFonts w:ascii="Arial" w:eastAsia="Times New Roman" w:hAnsi="Arial" w:cs="Arial"/>
          <w:bCs/>
          <w:sz w:val="18"/>
          <w:szCs w:val="18"/>
          <w:lang w:eastAsia="es-CR"/>
        </w:rPr>
        <w:t>Nota Fuente: Informe de rendimiento de cuentas de área. (2017)</w:t>
      </w:r>
    </w:p>
    <w:p w:rsidR="00672FF2" w:rsidRPr="00167656" w:rsidRDefault="00672FF2" w:rsidP="00167656">
      <w:pPr>
        <w:spacing w:after="0" w:line="240" w:lineRule="auto"/>
        <w:jc w:val="both"/>
        <w:rPr>
          <w:rFonts w:ascii="Arial" w:eastAsia="Times New Roman" w:hAnsi="Arial" w:cs="Arial"/>
          <w:b/>
          <w:bCs/>
          <w:sz w:val="20"/>
          <w:szCs w:val="20"/>
          <w:lang w:eastAsia="es-CR"/>
        </w:rPr>
      </w:pPr>
      <w:r w:rsidRPr="00167656">
        <w:rPr>
          <w:rFonts w:ascii="Arial" w:eastAsia="Times New Roman" w:hAnsi="Arial" w:cs="Arial"/>
          <w:b/>
          <w:bCs/>
          <w:sz w:val="20"/>
          <w:szCs w:val="20"/>
          <w:lang w:eastAsia="es-CR"/>
        </w:rPr>
        <w:br w:type="page"/>
      </w:r>
    </w:p>
    <w:p w:rsidR="00167656" w:rsidRDefault="00167656" w:rsidP="00167656">
      <w:pPr>
        <w:spacing w:after="0" w:line="240" w:lineRule="auto"/>
        <w:jc w:val="both"/>
        <w:rPr>
          <w:rFonts w:ascii="Arial" w:eastAsia="Times New Roman" w:hAnsi="Arial" w:cs="Arial"/>
          <w:b/>
          <w:bCs/>
          <w:sz w:val="20"/>
          <w:szCs w:val="20"/>
          <w:lang w:eastAsia="es-CR"/>
        </w:rPr>
      </w:pPr>
    </w:p>
    <w:p w:rsidR="00672FF2" w:rsidRPr="00167656" w:rsidRDefault="00672FF2" w:rsidP="00167656">
      <w:pPr>
        <w:spacing w:after="0" w:line="240" w:lineRule="auto"/>
        <w:jc w:val="both"/>
        <w:rPr>
          <w:rFonts w:ascii="Arial" w:eastAsia="Times New Roman" w:hAnsi="Arial" w:cs="Arial"/>
          <w:b/>
          <w:bCs/>
          <w:sz w:val="20"/>
          <w:szCs w:val="20"/>
          <w:lang w:eastAsia="es-CR"/>
        </w:rPr>
      </w:pPr>
      <w:r w:rsidRPr="00167656">
        <w:rPr>
          <w:rFonts w:ascii="Arial" w:eastAsia="Times New Roman" w:hAnsi="Arial" w:cs="Arial"/>
          <w:b/>
          <w:bCs/>
          <w:sz w:val="20"/>
          <w:szCs w:val="20"/>
          <w:lang w:eastAsia="es-CR"/>
        </w:rPr>
        <w:t>PROYECTO LOS LIRIOS</w:t>
      </w:r>
    </w:p>
    <w:p w:rsidR="00672FF2" w:rsidRPr="00167656" w:rsidRDefault="00672FF2" w:rsidP="00167656">
      <w:pPr>
        <w:spacing w:after="0" w:line="240" w:lineRule="auto"/>
        <w:jc w:val="both"/>
        <w:rPr>
          <w:rFonts w:ascii="Arial" w:eastAsia="Times New Roman" w:hAnsi="Arial" w:cs="Arial"/>
          <w:b/>
          <w:bCs/>
          <w:sz w:val="20"/>
          <w:szCs w:val="20"/>
          <w:lang w:eastAsia="es-CR"/>
        </w:rPr>
      </w:pPr>
    </w:p>
    <w:p w:rsidR="00672FF2" w:rsidRPr="00167656" w:rsidRDefault="00672FF2" w:rsidP="00167656">
      <w:pPr>
        <w:spacing w:after="0" w:line="240" w:lineRule="auto"/>
        <w:jc w:val="both"/>
        <w:rPr>
          <w:rFonts w:ascii="Arial" w:eastAsia="Times New Roman" w:hAnsi="Arial" w:cs="Arial"/>
          <w:b/>
          <w:bCs/>
          <w:sz w:val="20"/>
          <w:szCs w:val="20"/>
          <w:lang w:eastAsia="es-CR"/>
        </w:rPr>
      </w:pPr>
      <w:r w:rsidRPr="00167656">
        <w:rPr>
          <w:rFonts w:ascii="Arial" w:eastAsia="Times New Roman" w:hAnsi="Arial" w:cs="Arial"/>
          <w:b/>
          <w:bCs/>
          <w:sz w:val="20"/>
          <w:szCs w:val="20"/>
          <w:lang w:eastAsia="es-CR"/>
        </w:rPr>
        <w:t xml:space="preserve">Indicador N°33 Porcentaje de avance en la etapa de ejecución </w:t>
      </w:r>
    </w:p>
    <w:p w:rsidR="00672FF2" w:rsidRPr="00167656" w:rsidRDefault="00672FF2" w:rsidP="00167656">
      <w:pPr>
        <w:spacing w:after="0" w:line="240" w:lineRule="auto"/>
        <w:jc w:val="both"/>
        <w:rPr>
          <w:rFonts w:ascii="Arial" w:eastAsia="Times New Roman" w:hAnsi="Arial" w:cs="Arial"/>
          <w:b/>
          <w:bCs/>
          <w:sz w:val="20"/>
          <w:szCs w:val="20"/>
          <w:lang w:eastAsia="es-CR"/>
        </w:rPr>
      </w:pPr>
    </w:p>
    <w:p w:rsidR="00672FF2" w:rsidRPr="00167656" w:rsidRDefault="00672FF2" w:rsidP="00167656">
      <w:pPr>
        <w:spacing w:after="0" w:line="240" w:lineRule="auto"/>
        <w:jc w:val="both"/>
        <w:rPr>
          <w:rFonts w:ascii="Arial" w:eastAsia="Times New Roman" w:hAnsi="Arial" w:cs="Arial"/>
          <w:bCs/>
          <w:sz w:val="20"/>
          <w:szCs w:val="20"/>
          <w:lang w:eastAsia="es-CR"/>
        </w:rPr>
      </w:pPr>
      <w:r w:rsidRPr="00167656">
        <w:rPr>
          <w:rFonts w:ascii="Arial" w:eastAsia="Times New Roman" w:hAnsi="Arial" w:cs="Arial"/>
          <w:bCs/>
          <w:sz w:val="20"/>
          <w:szCs w:val="20"/>
          <w:lang w:eastAsia="es-CR"/>
        </w:rPr>
        <w:t>A diciembre la etapa de ejecución no muestra avance porque la aprobación del proyecto por parte del Banco Hipotecario de la Vivienda (BANHVI), se obtuvo hasta el cuarto trimestre, mediante acuerdo de Junta Directiva N°1, sesión 71-2017, realizada el 02 de octubre del 2017.</w:t>
      </w:r>
    </w:p>
    <w:p w:rsidR="00672FF2" w:rsidRPr="00167656" w:rsidRDefault="00672FF2" w:rsidP="00167656">
      <w:pPr>
        <w:spacing w:after="0" w:line="240" w:lineRule="auto"/>
        <w:jc w:val="both"/>
        <w:rPr>
          <w:rFonts w:ascii="Arial" w:eastAsia="Times New Roman" w:hAnsi="Arial" w:cs="Arial"/>
          <w:b/>
          <w:bCs/>
          <w:sz w:val="20"/>
          <w:szCs w:val="20"/>
          <w:lang w:eastAsia="es-CR"/>
        </w:rPr>
      </w:pPr>
    </w:p>
    <w:p w:rsidR="00672FF2" w:rsidRPr="00167656" w:rsidRDefault="00672FF2" w:rsidP="00167656">
      <w:pPr>
        <w:spacing w:after="0" w:line="240" w:lineRule="auto"/>
        <w:jc w:val="both"/>
        <w:rPr>
          <w:rFonts w:ascii="Arial" w:eastAsia="Times New Roman" w:hAnsi="Arial" w:cs="Arial"/>
          <w:bCs/>
          <w:sz w:val="20"/>
          <w:szCs w:val="20"/>
          <w:lang w:eastAsia="es-CR"/>
        </w:rPr>
      </w:pPr>
      <w:r w:rsidRPr="00167656">
        <w:rPr>
          <w:rFonts w:ascii="Arial" w:eastAsia="Times New Roman" w:hAnsi="Arial" w:cs="Arial"/>
          <w:bCs/>
          <w:sz w:val="20"/>
          <w:szCs w:val="20"/>
          <w:lang w:eastAsia="es-CR"/>
        </w:rPr>
        <w:t>Seguidamente se muestra un detalle de lo actuado:</w:t>
      </w:r>
    </w:p>
    <w:tbl>
      <w:tblPr>
        <w:tblW w:w="9103" w:type="dxa"/>
        <w:tblBorders>
          <w:insideH w:val="single" w:sz="6" w:space="0" w:color="000000"/>
          <w:insideV w:val="single" w:sz="6" w:space="0" w:color="000000"/>
        </w:tblBorders>
        <w:tblLook w:val="04A0" w:firstRow="1" w:lastRow="0" w:firstColumn="1" w:lastColumn="0" w:noHBand="0" w:noVBand="1"/>
      </w:tblPr>
      <w:tblGrid>
        <w:gridCol w:w="4293"/>
        <w:gridCol w:w="4810"/>
      </w:tblGrid>
      <w:tr w:rsidR="00672FF2" w:rsidRPr="00167656" w:rsidTr="002D5BDD">
        <w:trPr>
          <w:trHeight w:val="270"/>
        </w:trPr>
        <w:tc>
          <w:tcPr>
            <w:tcW w:w="5000" w:type="pct"/>
            <w:gridSpan w:val="2"/>
            <w:shd w:val="clear" w:color="auto" w:fill="auto"/>
            <w:noWrap/>
            <w:hideMark/>
          </w:tcPr>
          <w:p w:rsidR="00672FF2" w:rsidRPr="00167656" w:rsidRDefault="00672FF2" w:rsidP="00167656">
            <w:pPr>
              <w:spacing w:after="0" w:line="240" w:lineRule="auto"/>
              <w:jc w:val="both"/>
              <w:rPr>
                <w:rFonts w:ascii="Arial" w:eastAsia="Times New Roman" w:hAnsi="Arial" w:cs="Arial"/>
                <w:b/>
                <w:bCs/>
                <w:sz w:val="20"/>
                <w:szCs w:val="20"/>
                <w:lang w:eastAsia="es-CR"/>
              </w:rPr>
            </w:pPr>
          </w:p>
          <w:p w:rsidR="00672FF2" w:rsidRPr="00167656" w:rsidRDefault="00672FF2" w:rsidP="00167656">
            <w:pPr>
              <w:spacing w:after="0" w:line="240" w:lineRule="auto"/>
              <w:jc w:val="center"/>
              <w:rPr>
                <w:rFonts w:ascii="Arial" w:eastAsia="Times New Roman" w:hAnsi="Arial" w:cs="Arial"/>
                <w:b/>
                <w:bCs/>
                <w:sz w:val="20"/>
                <w:szCs w:val="20"/>
                <w:lang w:eastAsia="es-CR"/>
              </w:rPr>
            </w:pPr>
            <w:r w:rsidRPr="00167656">
              <w:rPr>
                <w:rFonts w:ascii="Arial" w:eastAsia="Times New Roman" w:hAnsi="Arial" w:cs="Arial"/>
                <w:b/>
                <w:bCs/>
                <w:sz w:val="20"/>
                <w:szCs w:val="20"/>
                <w:lang w:eastAsia="es-CR"/>
              </w:rPr>
              <w:t>Tabla 28 Acciones Realizadas</w:t>
            </w:r>
          </w:p>
        </w:tc>
      </w:tr>
      <w:tr w:rsidR="00672FF2" w:rsidRPr="00167656" w:rsidTr="002D5BDD">
        <w:trPr>
          <w:trHeight w:val="825"/>
        </w:trPr>
        <w:tc>
          <w:tcPr>
            <w:tcW w:w="2358" w:type="pct"/>
            <w:shd w:val="clear" w:color="auto" w:fill="auto"/>
            <w:hideMark/>
          </w:tcPr>
          <w:p w:rsidR="00672FF2" w:rsidRPr="00167656" w:rsidRDefault="00672FF2" w:rsidP="00167656">
            <w:pPr>
              <w:spacing w:after="0" w:line="240" w:lineRule="auto"/>
              <w:jc w:val="both"/>
              <w:rPr>
                <w:rFonts w:ascii="Arial" w:eastAsia="Times New Roman" w:hAnsi="Arial" w:cs="Arial"/>
                <w:b/>
                <w:bCs/>
                <w:sz w:val="20"/>
                <w:szCs w:val="20"/>
                <w:lang w:eastAsia="es-CR"/>
              </w:rPr>
            </w:pPr>
            <w:r w:rsidRPr="00167656">
              <w:rPr>
                <w:rFonts w:ascii="Arial" w:eastAsia="Times New Roman" w:hAnsi="Arial" w:cs="Arial"/>
                <w:b/>
                <w:bCs/>
                <w:sz w:val="20"/>
                <w:szCs w:val="20"/>
                <w:lang w:eastAsia="es-CR"/>
              </w:rPr>
              <w:t>a) Actividades realizadas:</w:t>
            </w:r>
          </w:p>
        </w:tc>
        <w:tc>
          <w:tcPr>
            <w:tcW w:w="2642" w:type="pct"/>
            <w:shd w:val="clear" w:color="auto" w:fill="auto"/>
          </w:tcPr>
          <w:p w:rsidR="00672FF2" w:rsidRPr="00167656" w:rsidRDefault="00672FF2" w:rsidP="00167656">
            <w:pPr>
              <w:spacing w:after="0" w:line="240" w:lineRule="auto"/>
              <w:jc w:val="both"/>
              <w:rPr>
                <w:rFonts w:ascii="Arial" w:eastAsia="Times New Roman" w:hAnsi="Arial" w:cs="Arial"/>
                <w:bCs/>
                <w:sz w:val="20"/>
                <w:szCs w:val="20"/>
                <w:lang w:eastAsia="es-CR"/>
              </w:rPr>
            </w:pPr>
            <w:r w:rsidRPr="00167656">
              <w:rPr>
                <w:rFonts w:ascii="Arial" w:eastAsia="Times New Roman" w:hAnsi="Arial" w:cs="Arial"/>
                <w:bCs/>
                <w:sz w:val="20"/>
                <w:szCs w:val="20"/>
                <w:lang w:eastAsia="es-CR"/>
              </w:rPr>
              <w:t>- Se finalizó la recopilación y revisión de presupuestos, planos y documentación técnica actualizada del proyecto.</w:t>
            </w:r>
          </w:p>
          <w:p w:rsidR="00672FF2" w:rsidRPr="00167656" w:rsidRDefault="00672FF2" w:rsidP="00167656">
            <w:pPr>
              <w:spacing w:after="0" w:line="240" w:lineRule="auto"/>
              <w:jc w:val="both"/>
              <w:rPr>
                <w:rFonts w:ascii="Arial" w:eastAsia="Times New Roman" w:hAnsi="Arial" w:cs="Arial"/>
                <w:bCs/>
                <w:sz w:val="20"/>
                <w:szCs w:val="20"/>
                <w:lang w:eastAsia="es-CR"/>
              </w:rPr>
            </w:pPr>
            <w:r w:rsidRPr="00167656">
              <w:rPr>
                <w:rFonts w:ascii="Arial" w:eastAsia="Times New Roman" w:hAnsi="Arial" w:cs="Arial"/>
                <w:bCs/>
                <w:sz w:val="20"/>
                <w:szCs w:val="20"/>
                <w:lang w:eastAsia="es-CR"/>
              </w:rPr>
              <w:t>- Se actualizaron los perfiles y estudios socioeconómicos de las familias para la respectiva certificación.</w:t>
            </w:r>
          </w:p>
          <w:p w:rsidR="00672FF2" w:rsidRPr="00167656" w:rsidRDefault="00672FF2" w:rsidP="00167656">
            <w:pPr>
              <w:spacing w:after="0" w:line="240" w:lineRule="auto"/>
              <w:jc w:val="both"/>
              <w:rPr>
                <w:rFonts w:ascii="Arial" w:eastAsia="Times New Roman" w:hAnsi="Arial" w:cs="Arial"/>
                <w:bCs/>
                <w:sz w:val="20"/>
                <w:szCs w:val="20"/>
                <w:lang w:eastAsia="es-CR"/>
              </w:rPr>
            </w:pPr>
            <w:r w:rsidRPr="00167656">
              <w:rPr>
                <w:rFonts w:ascii="Arial" w:eastAsia="Times New Roman" w:hAnsi="Arial" w:cs="Arial"/>
                <w:bCs/>
                <w:sz w:val="20"/>
                <w:szCs w:val="20"/>
                <w:lang w:eastAsia="es-CR"/>
              </w:rPr>
              <w:t>- Se presentó ante el BANHVI para su respectiva aprobación, la información del informe técnico, la política conozca a su cliente y el formulario S-002 del proyecto.</w:t>
            </w:r>
          </w:p>
          <w:p w:rsidR="00672FF2" w:rsidRPr="00167656" w:rsidRDefault="00672FF2" w:rsidP="00167656">
            <w:pPr>
              <w:spacing w:after="0" w:line="240" w:lineRule="auto"/>
              <w:jc w:val="both"/>
              <w:rPr>
                <w:rFonts w:ascii="Arial" w:eastAsia="Times New Roman" w:hAnsi="Arial" w:cs="Arial"/>
                <w:bCs/>
                <w:sz w:val="20"/>
                <w:szCs w:val="20"/>
                <w:lang w:eastAsia="es-CR"/>
              </w:rPr>
            </w:pPr>
            <w:r w:rsidRPr="00167656">
              <w:rPr>
                <w:rFonts w:ascii="Arial" w:eastAsia="Times New Roman" w:hAnsi="Arial" w:cs="Arial"/>
                <w:bCs/>
                <w:sz w:val="20"/>
                <w:szCs w:val="20"/>
                <w:lang w:eastAsia="es-CR"/>
              </w:rPr>
              <w:t xml:space="preserve">- </w:t>
            </w:r>
            <w:r w:rsidRPr="00167656">
              <w:rPr>
                <w:rFonts w:ascii="Arial" w:eastAsia="Times New Roman" w:hAnsi="Arial" w:cs="Arial"/>
                <w:bCs/>
                <w:sz w:val="20"/>
                <w:szCs w:val="20"/>
                <w:lang w:eastAsia="es-CR"/>
              </w:rPr>
              <w:tab/>
              <w:t>Se obtuvo la aprobación de la Junta Directiva del INVU, de los valores de los terrenos propuestos por el BANHVI, mediante el acuerdo JD-266-2017.</w:t>
            </w:r>
          </w:p>
          <w:p w:rsidR="00672FF2" w:rsidRPr="00167656" w:rsidRDefault="00672FF2" w:rsidP="00167656">
            <w:pPr>
              <w:spacing w:after="0" w:line="240" w:lineRule="auto"/>
              <w:jc w:val="both"/>
              <w:rPr>
                <w:rFonts w:ascii="Arial" w:eastAsia="Times New Roman" w:hAnsi="Arial" w:cs="Arial"/>
                <w:bCs/>
                <w:sz w:val="20"/>
                <w:szCs w:val="20"/>
                <w:lang w:eastAsia="es-CR"/>
              </w:rPr>
            </w:pPr>
            <w:r w:rsidRPr="00167656">
              <w:rPr>
                <w:rFonts w:ascii="Arial" w:eastAsia="Times New Roman" w:hAnsi="Arial" w:cs="Arial"/>
                <w:bCs/>
                <w:sz w:val="20"/>
                <w:szCs w:val="20"/>
                <w:lang w:eastAsia="es-CR"/>
              </w:rPr>
              <w:t>- Se obtuvo la aprobación del financiamiento del  proyecto por parte del BANHVI, mediante el acuerdo de Junta Directiva N°1, sesión 71-2017.</w:t>
            </w:r>
          </w:p>
          <w:p w:rsidR="00672FF2" w:rsidRPr="00167656" w:rsidRDefault="00672FF2" w:rsidP="00167656">
            <w:pPr>
              <w:spacing w:after="0" w:line="240" w:lineRule="auto"/>
              <w:jc w:val="both"/>
              <w:rPr>
                <w:rFonts w:ascii="Arial" w:eastAsia="Times New Roman" w:hAnsi="Arial" w:cs="Arial"/>
                <w:bCs/>
                <w:sz w:val="20"/>
                <w:szCs w:val="20"/>
                <w:lang w:eastAsia="es-CR"/>
              </w:rPr>
            </w:pPr>
            <w:r w:rsidRPr="00167656">
              <w:rPr>
                <w:rFonts w:ascii="Arial" w:eastAsia="Times New Roman" w:hAnsi="Arial" w:cs="Arial"/>
                <w:bCs/>
                <w:sz w:val="20"/>
                <w:szCs w:val="20"/>
                <w:lang w:eastAsia="es-CR"/>
              </w:rPr>
              <w:t>- Se obtuvieron los usos de suelo y se solicitaron los alineamientos viales necesarios, para el trámite del permiso de construcción.</w:t>
            </w:r>
          </w:p>
          <w:p w:rsidR="00672FF2" w:rsidRPr="00167656" w:rsidRDefault="00672FF2" w:rsidP="00167656">
            <w:pPr>
              <w:spacing w:after="0" w:line="240" w:lineRule="auto"/>
              <w:jc w:val="both"/>
              <w:rPr>
                <w:rFonts w:ascii="Arial" w:eastAsia="Times New Roman" w:hAnsi="Arial" w:cs="Arial"/>
                <w:bCs/>
                <w:sz w:val="20"/>
                <w:szCs w:val="20"/>
                <w:lang w:eastAsia="es-CR"/>
              </w:rPr>
            </w:pPr>
            <w:r w:rsidRPr="00167656">
              <w:rPr>
                <w:rFonts w:ascii="Arial" w:eastAsia="Times New Roman" w:hAnsi="Arial" w:cs="Arial"/>
                <w:bCs/>
                <w:sz w:val="20"/>
                <w:szCs w:val="20"/>
                <w:lang w:eastAsia="es-CR"/>
              </w:rPr>
              <w:t>- Se inició el proceso de formalización de los casos para lo cual se generaron los contratos de obra determinada y se actualizó la información de las familias.</w:t>
            </w:r>
          </w:p>
          <w:p w:rsidR="00672FF2" w:rsidRPr="00167656" w:rsidRDefault="00672FF2" w:rsidP="00167656">
            <w:pPr>
              <w:spacing w:after="0" w:line="240" w:lineRule="auto"/>
              <w:jc w:val="both"/>
              <w:rPr>
                <w:rFonts w:ascii="Arial" w:eastAsia="Times New Roman" w:hAnsi="Arial" w:cs="Arial"/>
                <w:bCs/>
                <w:sz w:val="20"/>
                <w:szCs w:val="20"/>
                <w:lang w:eastAsia="es-CR"/>
              </w:rPr>
            </w:pPr>
            <w:r w:rsidRPr="00167656">
              <w:rPr>
                <w:rFonts w:ascii="Arial" w:eastAsia="Times New Roman" w:hAnsi="Arial" w:cs="Arial"/>
                <w:bCs/>
                <w:sz w:val="20"/>
                <w:szCs w:val="20"/>
                <w:lang w:eastAsia="es-CR"/>
              </w:rPr>
              <w:t>- Se obtuvo apoyo económico por parte del IMAS para completar el monto que deben aportar las familias.</w:t>
            </w:r>
          </w:p>
        </w:tc>
      </w:tr>
      <w:tr w:rsidR="00672FF2" w:rsidRPr="00167656" w:rsidTr="0028677A">
        <w:trPr>
          <w:trHeight w:val="370"/>
        </w:trPr>
        <w:tc>
          <w:tcPr>
            <w:tcW w:w="2358" w:type="pct"/>
            <w:shd w:val="clear" w:color="auto" w:fill="auto"/>
            <w:hideMark/>
          </w:tcPr>
          <w:p w:rsidR="00672FF2" w:rsidRPr="00167656" w:rsidRDefault="00672FF2" w:rsidP="0028677A">
            <w:pPr>
              <w:spacing w:after="0" w:line="240" w:lineRule="auto"/>
              <w:jc w:val="both"/>
              <w:rPr>
                <w:rFonts w:ascii="Arial" w:eastAsia="Times New Roman" w:hAnsi="Arial" w:cs="Arial"/>
                <w:b/>
                <w:bCs/>
                <w:sz w:val="20"/>
                <w:szCs w:val="20"/>
                <w:lang w:eastAsia="es-CR"/>
              </w:rPr>
            </w:pPr>
            <w:r w:rsidRPr="00167656">
              <w:rPr>
                <w:rFonts w:ascii="Arial" w:eastAsia="Times New Roman" w:hAnsi="Arial" w:cs="Arial"/>
                <w:b/>
                <w:bCs/>
                <w:sz w:val="20"/>
                <w:szCs w:val="20"/>
                <w:lang w:eastAsia="es-CR"/>
              </w:rPr>
              <w:t>b) Limitaciones:</w:t>
            </w:r>
          </w:p>
        </w:tc>
        <w:tc>
          <w:tcPr>
            <w:tcW w:w="2642" w:type="pct"/>
            <w:shd w:val="clear" w:color="auto" w:fill="auto"/>
          </w:tcPr>
          <w:p w:rsidR="00672FF2" w:rsidRPr="00167656" w:rsidRDefault="00672FF2" w:rsidP="00167656">
            <w:pPr>
              <w:spacing w:after="0" w:line="240" w:lineRule="auto"/>
              <w:jc w:val="both"/>
              <w:rPr>
                <w:rFonts w:ascii="Arial" w:eastAsia="Times New Roman" w:hAnsi="Arial" w:cs="Arial"/>
                <w:bCs/>
                <w:sz w:val="20"/>
                <w:szCs w:val="20"/>
                <w:lang w:eastAsia="es-CR"/>
              </w:rPr>
            </w:pPr>
            <w:r w:rsidRPr="00167656">
              <w:rPr>
                <w:rFonts w:ascii="Arial" w:eastAsia="Times New Roman" w:hAnsi="Arial" w:cs="Arial"/>
                <w:bCs/>
                <w:sz w:val="20"/>
                <w:szCs w:val="20"/>
                <w:lang w:eastAsia="es-CR"/>
              </w:rPr>
              <w:t>Proceso de revisión lento por parte del BANHVI.</w:t>
            </w:r>
          </w:p>
        </w:tc>
      </w:tr>
      <w:tr w:rsidR="00672FF2" w:rsidRPr="00167656" w:rsidTr="002D5BDD">
        <w:trPr>
          <w:trHeight w:val="471"/>
        </w:trPr>
        <w:tc>
          <w:tcPr>
            <w:tcW w:w="2358" w:type="pct"/>
            <w:shd w:val="clear" w:color="auto" w:fill="auto"/>
            <w:hideMark/>
          </w:tcPr>
          <w:p w:rsidR="00672FF2" w:rsidRPr="00167656" w:rsidRDefault="00672FF2" w:rsidP="00167656">
            <w:pPr>
              <w:spacing w:after="0" w:line="240" w:lineRule="auto"/>
              <w:jc w:val="both"/>
              <w:rPr>
                <w:rFonts w:ascii="Arial" w:eastAsia="Times New Roman" w:hAnsi="Arial" w:cs="Arial"/>
                <w:b/>
                <w:bCs/>
                <w:sz w:val="20"/>
                <w:szCs w:val="20"/>
                <w:lang w:eastAsia="es-CR"/>
              </w:rPr>
            </w:pPr>
            <w:r w:rsidRPr="00167656">
              <w:rPr>
                <w:rFonts w:ascii="Arial" w:eastAsia="Times New Roman" w:hAnsi="Arial" w:cs="Arial"/>
                <w:b/>
                <w:bCs/>
                <w:sz w:val="20"/>
                <w:szCs w:val="20"/>
                <w:lang w:eastAsia="es-CR"/>
              </w:rPr>
              <w:t>c) Medidas correctivas o acciones de mejora (realizadas y por realizar) para el logro de la meta:</w:t>
            </w:r>
          </w:p>
          <w:p w:rsidR="00672FF2" w:rsidRPr="00167656" w:rsidRDefault="00672FF2" w:rsidP="00167656">
            <w:pPr>
              <w:spacing w:after="0" w:line="240" w:lineRule="auto"/>
              <w:jc w:val="both"/>
              <w:rPr>
                <w:rFonts w:ascii="Arial" w:eastAsia="Times New Roman" w:hAnsi="Arial" w:cs="Arial"/>
                <w:b/>
                <w:bCs/>
                <w:sz w:val="20"/>
                <w:szCs w:val="20"/>
                <w:lang w:eastAsia="es-CR"/>
              </w:rPr>
            </w:pPr>
          </w:p>
        </w:tc>
        <w:tc>
          <w:tcPr>
            <w:tcW w:w="2642" w:type="pct"/>
            <w:shd w:val="clear" w:color="auto" w:fill="auto"/>
          </w:tcPr>
          <w:p w:rsidR="00672FF2" w:rsidRPr="00167656" w:rsidRDefault="00672FF2" w:rsidP="00167656">
            <w:pPr>
              <w:spacing w:after="0" w:line="240" w:lineRule="auto"/>
              <w:jc w:val="both"/>
              <w:rPr>
                <w:rFonts w:ascii="Arial" w:eastAsia="Times New Roman" w:hAnsi="Arial" w:cs="Arial"/>
                <w:bCs/>
                <w:sz w:val="20"/>
                <w:szCs w:val="20"/>
                <w:lang w:eastAsia="es-CR"/>
              </w:rPr>
            </w:pPr>
          </w:p>
          <w:p w:rsidR="00672FF2" w:rsidRPr="00167656" w:rsidRDefault="00672FF2" w:rsidP="00167656">
            <w:pPr>
              <w:spacing w:after="0" w:line="240" w:lineRule="auto"/>
              <w:jc w:val="both"/>
              <w:rPr>
                <w:rFonts w:ascii="Arial" w:eastAsia="Times New Roman" w:hAnsi="Arial" w:cs="Arial"/>
                <w:bCs/>
                <w:sz w:val="20"/>
                <w:szCs w:val="20"/>
                <w:lang w:eastAsia="es-CR"/>
              </w:rPr>
            </w:pPr>
          </w:p>
          <w:p w:rsidR="00672FF2" w:rsidRPr="00167656" w:rsidRDefault="00672FF2" w:rsidP="00167656">
            <w:pPr>
              <w:spacing w:after="0" w:line="240" w:lineRule="auto"/>
              <w:jc w:val="both"/>
              <w:rPr>
                <w:rFonts w:ascii="Arial" w:eastAsia="Times New Roman" w:hAnsi="Arial" w:cs="Arial"/>
                <w:bCs/>
                <w:sz w:val="20"/>
                <w:szCs w:val="20"/>
                <w:lang w:eastAsia="es-CR"/>
              </w:rPr>
            </w:pPr>
          </w:p>
          <w:p w:rsidR="00672FF2" w:rsidRPr="00167656" w:rsidRDefault="00672FF2" w:rsidP="00167656">
            <w:pPr>
              <w:spacing w:after="0" w:line="240" w:lineRule="auto"/>
              <w:jc w:val="both"/>
              <w:rPr>
                <w:rFonts w:ascii="Arial" w:eastAsia="Times New Roman" w:hAnsi="Arial" w:cs="Arial"/>
                <w:bCs/>
                <w:sz w:val="20"/>
                <w:szCs w:val="20"/>
                <w:lang w:eastAsia="es-CR"/>
              </w:rPr>
            </w:pPr>
          </w:p>
        </w:tc>
      </w:tr>
      <w:tr w:rsidR="00672FF2" w:rsidRPr="00167656" w:rsidTr="002D5BDD">
        <w:trPr>
          <w:trHeight w:val="850"/>
        </w:trPr>
        <w:tc>
          <w:tcPr>
            <w:tcW w:w="2358" w:type="pct"/>
            <w:shd w:val="clear" w:color="auto" w:fill="auto"/>
          </w:tcPr>
          <w:p w:rsidR="00672FF2" w:rsidRPr="00167656" w:rsidRDefault="00672FF2" w:rsidP="00167656">
            <w:pPr>
              <w:spacing w:after="0" w:line="240" w:lineRule="auto"/>
              <w:jc w:val="both"/>
              <w:rPr>
                <w:rFonts w:ascii="Arial" w:eastAsia="Times New Roman" w:hAnsi="Arial" w:cs="Arial"/>
                <w:b/>
                <w:bCs/>
                <w:sz w:val="20"/>
                <w:szCs w:val="20"/>
                <w:lang w:eastAsia="es-CR"/>
              </w:rPr>
            </w:pPr>
            <w:r w:rsidRPr="00167656">
              <w:rPr>
                <w:rFonts w:ascii="Arial" w:eastAsia="Times New Roman" w:hAnsi="Arial" w:cs="Arial"/>
                <w:b/>
                <w:bCs/>
                <w:sz w:val="20"/>
                <w:szCs w:val="20"/>
                <w:lang w:eastAsia="es-CR"/>
              </w:rPr>
              <w:t>Observaciones:</w:t>
            </w:r>
          </w:p>
        </w:tc>
        <w:tc>
          <w:tcPr>
            <w:tcW w:w="2642" w:type="pct"/>
            <w:shd w:val="clear" w:color="auto" w:fill="auto"/>
          </w:tcPr>
          <w:p w:rsidR="00672FF2" w:rsidRPr="00167656" w:rsidRDefault="00672FF2" w:rsidP="00167656">
            <w:pPr>
              <w:spacing w:after="0" w:line="240" w:lineRule="auto"/>
              <w:jc w:val="both"/>
              <w:rPr>
                <w:rFonts w:ascii="Arial" w:eastAsia="Times New Roman" w:hAnsi="Arial" w:cs="Arial"/>
                <w:bCs/>
                <w:sz w:val="20"/>
                <w:szCs w:val="20"/>
                <w:lang w:eastAsia="es-CR"/>
              </w:rPr>
            </w:pPr>
            <w:r w:rsidRPr="00167656">
              <w:rPr>
                <w:rFonts w:ascii="Arial" w:eastAsia="Times New Roman" w:hAnsi="Arial" w:cs="Arial"/>
                <w:bCs/>
                <w:sz w:val="20"/>
                <w:szCs w:val="20"/>
                <w:lang w:eastAsia="es-CR"/>
              </w:rPr>
              <w:t>Para el inicio de la obras se encuentra pendiente, la firma de contratos de administración de recursos, solicitar los permisos de construcción y formalizar cada uno de los casos.</w:t>
            </w:r>
          </w:p>
        </w:tc>
      </w:tr>
    </w:tbl>
    <w:p w:rsidR="00672FF2" w:rsidRPr="00167656" w:rsidRDefault="00672FF2" w:rsidP="00167656">
      <w:pPr>
        <w:spacing w:after="0" w:line="240" w:lineRule="auto"/>
        <w:jc w:val="both"/>
        <w:rPr>
          <w:rFonts w:ascii="Arial" w:eastAsia="Times New Roman" w:hAnsi="Arial" w:cs="Arial"/>
          <w:b/>
          <w:bCs/>
          <w:sz w:val="20"/>
          <w:szCs w:val="20"/>
          <w:lang w:eastAsia="es-CR"/>
        </w:rPr>
      </w:pPr>
    </w:p>
    <w:p w:rsidR="00672FF2" w:rsidRPr="00167656" w:rsidRDefault="00672FF2" w:rsidP="00167656">
      <w:pPr>
        <w:spacing w:after="0" w:line="240" w:lineRule="auto"/>
        <w:jc w:val="both"/>
        <w:rPr>
          <w:rFonts w:ascii="Arial" w:eastAsia="Times New Roman" w:hAnsi="Arial" w:cs="Arial"/>
          <w:bCs/>
          <w:sz w:val="18"/>
          <w:szCs w:val="18"/>
          <w:lang w:eastAsia="es-CR"/>
        </w:rPr>
      </w:pPr>
      <w:r w:rsidRPr="00167656">
        <w:rPr>
          <w:rFonts w:ascii="Arial" w:eastAsia="Times New Roman" w:hAnsi="Arial" w:cs="Arial"/>
          <w:bCs/>
          <w:sz w:val="18"/>
          <w:szCs w:val="18"/>
          <w:lang w:eastAsia="es-CR"/>
        </w:rPr>
        <w:t>Nota Fuente: Informe de rendimiento de cuentas de área. (2017)</w:t>
      </w:r>
    </w:p>
    <w:p w:rsidR="00672FF2" w:rsidRPr="00672FF2" w:rsidRDefault="00672FF2" w:rsidP="00672FF2">
      <w:pPr>
        <w:rPr>
          <w:rFonts w:ascii="Arial" w:eastAsia="Times New Roman" w:hAnsi="Arial" w:cs="Arial"/>
          <w:b/>
          <w:bCs/>
          <w:color w:val="000000"/>
          <w:sz w:val="20"/>
          <w:szCs w:val="20"/>
          <w:lang w:eastAsia="es-CR"/>
        </w:rPr>
      </w:pPr>
    </w:p>
    <w:p w:rsidR="00672FF2" w:rsidRPr="00167656" w:rsidRDefault="00672FF2" w:rsidP="00672FF2">
      <w:pPr>
        <w:rPr>
          <w:rFonts w:ascii="Arial" w:eastAsia="Times New Roman" w:hAnsi="Arial" w:cs="Arial"/>
          <w:b/>
          <w:bCs/>
          <w:sz w:val="20"/>
          <w:szCs w:val="20"/>
          <w:lang w:eastAsia="es-CR"/>
        </w:rPr>
      </w:pPr>
      <w:r w:rsidRPr="00167656">
        <w:rPr>
          <w:rFonts w:ascii="Arial" w:eastAsia="Times New Roman" w:hAnsi="Arial" w:cs="Arial"/>
          <w:b/>
          <w:bCs/>
          <w:sz w:val="20"/>
          <w:szCs w:val="20"/>
          <w:lang w:eastAsia="es-CR"/>
        </w:rPr>
        <w:t xml:space="preserve">PROYECTO SAN JUAN III ETAPA </w:t>
      </w:r>
    </w:p>
    <w:p w:rsidR="00672FF2" w:rsidRPr="00167656" w:rsidRDefault="00672FF2" w:rsidP="00672FF2">
      <w:pPr>
        <w:rPr>
          <w:rFonts w:ascii="Arial" w:eastAsia="Times New Roman" w:hAnsi="Arial" w:cs="Arial"/>
          <w:b/>
          <w:bCs/>
          <w:sz w:val="20"/>
          <w:szCs w:val="20"/>
          <w:lang w:eastAsia="es-CR"/>
        </w:rPr>
      </w:pPr>
      <w:r w:rsidRPr="00167656">
        <w:rPr>
          <w:rFonts w:ascii="Arial" w:eastAsia="Times New Roman" w:hAnsi="Arial" w:cs="Arial"/>
          <w:b/>
          <w:bCs/>
          <w:sz w:val="20"/>
          <w:szCs w:val="20"/>
          <w:lang w:eastAsia="es-CR"/>
        </w:rPr>
        <w:t xml:space="preserve">Indicador N°34 Porcentaje de avance en la gestión de financiamiento  para solicitar aprobación ante BANHVI, del Bono Comunal </w:t>
      </w:r>
    </w:p>
    <w:p w:rsidR="00672FF2" w:rsidRPr="00167656" w:rsidRDefault="00672FF2" w:rsidP="0028677A">
      <w:pPr>
        <w:spacing w:line="240" w:lineRule="auto"/>
        <w:jc w:val="both"/>
        <w:rPr>
          <w:rFonts w:ascii="Arial" w:eastAsia="Times New Roman" w:hAnsi="Arial" w:cs="Arial"/>
          <w:bCs/>
          <w:sz w:val="20"/>
          <w:szCs w:val="20"/>
          <w:lang w:eastAsia="es-CR"/>
        </w:rPr>
      </w:pPr>
      <w:r w:rsidRPr="00167656">
        <w:rPr>
          <w:rFonts w:ascii="Arial" w:eastAsia="Times New Roman" w:hAnsi="Arial" w:cs="Arial"/>
          <w:bCs/>
          <w:sz w:val="20"/>
          <w:szCs w:val="20"/>
          <w:lang w:eastAsia="es-CR"/>
        </w:rPr>
        <w:t>A diciembre el avance en la gestión de financiamiento fue de un 50% de la meta anual, establecida en un 100%. Lo anterior por un ajuste del perfil del proyecto, además, porque en el terreno existen invasiones y  estructuras habitacionales informales que dificultan la formulación y desarrollo del proyecto, así como el tiempo de espera del documento de recomendación por parte del MIVAH.</w:t>
      </w:r>
    </w:p>
    <w:p w:rsidR="00672FF2" w:rsidRPr="00167656" w:rsidRDefault="00672FF2" w:rsidP="0028677A">
      <w:pPr>
        <w:spacing w:line="240" w:lineRule="auto"/>
        <w:rPr>
          <w:rFonts w:ascii="Arial" w:eastAsia="Times New Roman" w:hAnsi="Arial" w:cs="Arial"/>
          <w:bCs/>
          <w:sz w:val="20"/>
          <w:szCs w:val="20"/>
          <w:lang w:eastAsia="es-CR"/>
        </w:rPr>
      </w:pPr>
      <w:r w:rsidRPr="00167656">
        <w:rPr>
          <w:rFonts w:ascii="Arial" w:eastAsia="Times New Roman" w:hAnsi="Arial" w:cs="Arial"/>
          <w:bCs/>
          <w:sz w:val="20"/>
          <w:szCs w:val="20"/>
          <w:lang w:eastAsia="es-CR"/>
        </w:rPr>
        <w:t>Seguidamente se muestra un detalle de lo actuado:</w:t>
      </w:r>
    </w:p>
    <w:tbl>
      <w:tblPr>
        <w:tblW w:w="9153" w:type="dxa"/>
        <w:tblBorders>
          <w:insideH w:val="single" w:sz="6" w:space="0" w:color="000000"/>
          <w:insideV w:val="single" w:sz="6" w:space="0" w:color="000000"/>
        </w:tblBorders>
        <w:tblLook w:val="04A0" w:firstRow="1" w:lastRow="0" w:firstColumn="1" w:lastColumn="0" w:noHBand="0" w:noVBand="1"/>
      </w:tblPr>
      <w:tblGrid>
        <w:gridCol w:w="4317"/>
        <w:gridCol w:w="4836"/>
      </w:tblGrid>
      <w:tr w:rsidR="00672FF2" w:rsidRPr="00167656" w:rsidTr="002D5BDD">
        <w:trPr>
          <w:trHeight w:val="265"/>
        </w:trPr>
        <w:tc>
          <w:tcPr>
            <w:tcW w:w="5000" w:type="pct"/>
            <w:gridSpan w:val="2"/>
            <w:shd w:val="clear" w:color="auto" w:fill="auto"/>
            <w:noWrap/>
            <w:hideMark/>
          </w:tcPr>
          <w:p w:rsidR="00672FF2" w:rsidRPr="00167656" w:rsidRDefault="00672FF2" w:rsidP="0028677A">
            <w:pPr>
              <w:spacing w:line="240" w:lineRule="auto"/>
              <w:jc w:val="center"/>
              <w:rPr>
                <w:rFonts w:ascii="Arial" w:eastAsia="Times New Roman" w:hAnsi="Arial" w:cs="Arial"/>
                <w:b/>
                <w:bCs/>
                <w:sz w:val="20"/>
                <w:szCs w:val="20"/>
                <w:lang w:eastAsia="es-CR"/>
              </w:rPr>
            </w:pPr>
            <w:r w:rsidRPr="00167656">
              <w:rPr>
                <w:rFonts w:ascii="Arial" w:eastAsia="Times New Roman" w:hAnsi="Arial" w:cs="Arial"/>
                <w:b/>
                <w:bCs/>
                <w:sz w:val="20"/>
                <w:szCs w:val="20"/>
                <w:lang w:eastAsia="es-CR"/>
              </w:rPr>
              <w:t>Tabla 29 Acciones Realizadas</w:t>
            </w:r>
          </w:p>
        </w:tc>
      </w:tr>
      <w:tr w:rsidR="00672FF2" w:rsidRPr="00167656" w:rsidTr="002D5BDD">
        <w:trPr>
          <w:trHeight w:val="808"/>
        </w:trPr>
        <w:tc>
          <w:tcPr>
            <w:tcW w:w="2358" w:type="pct"/>
            <w:shd w:val="clear" w:color="auto" w:fill="auto"/>
            <w:hideMark/>
          </w:tcPr>
          <w:p w:rsidR="00672FF2" w:rsidRPr="00167656" w:rsidRDefault="00672FF2" w:rsidP="0028677A">
            <w:pPr>
              <w:spacing w:line="240" w:lineRule="auto"/>
              <w:rPr>
                <w:rFonts w:ascii="Arial" w:eastAsia="Times New Roman" w:hAnsi="Arial" w:cs="Arial"/>
                <w:b/>
                <w:bCs/>
                <w:sz w:val="20"/>
                <w:szCs w:val="20"/>
                <w:lang w:eastAsia="es-CR"/>
              </w:rPr>
            </w:pPr>
            <w:r w:rsidRPr="00167656">
              <w:rPr>
                <w:rFonts w:ascii="Arial" w:eastAsia="Times New Roman" w:hAnsi="Arial" w:cs="Arial"/>
                <w:b/>
                <w:bCs/>
                <w:sz w:val="20"/>
                <w:szCs w:val="20"/>
                <w:lang w:eastAsia="es-CR"/>
              </w:rPr>
              <w:t>a) Actividades realizadas:</w:t>
            </w:r>
          </w:p>
        </w:tc>
        <w:tc>
          <w:tcPr>
            <w:tcW w:w="2642" w:type="pct"/>
            <w:shd w:val="clear" w:color="auto" w:fill="auto"/>
          </w:tcPr>
          <w:p w:rsidR="00672FF2" w:rsidRPr="00167656" w:rsidRDefault="00672FF2" w:rsidP="0028677A">
            <w:pPr>
              <w:spacing w:after="0" w:line="240" w:lineRule="auto"/>
              <w:jc w:val="both"/>
              <w:rPr>
                <w:rFonts w:ascii="Arial" w:eastAsia="Times New Roman" w:hAnsi="Arial" w:cs="Arial"/>
                <w:bCs/>
                <w:sz w:val="20"/>
                <w:szCs w:val="20"/>
                <w:lang w:eastAsia="es-CR"/>
              </w:rPr>
            </w:pPr>
            <w:r w:rsidRPr="00167656">
              <w:rPr>
                <w:rFonts w:ascii="Arial" w:eastAsia="Times New Roman" w:hAnsi="Arial" w:cs="Arial"/>
                <w:bCs/>
                <w:sz w:val="20"/>
                <w:szCs w:val="20"/>
                <w:lang w:eastAsia="es-CR"/>
              </w:rPr>
              <w:t>- Se elaboraron los planos y presupuesto de las obras eléctricas, de acuerdo con la normativa de la Compañía Nacional de Fuerza y Luz (CNFL).</w:t>
            </w:r>
          </w:p>
          <w:p w:rsidR="00672FF2" w:rsidRPr="00167656" w:rsidRDefault="00672FF2" w:rsidP="0028677A">
            <w:pPr>
              <w:spacing w:after="0" w:line="240" w:lineRule="auto"/>
              <w:jc w:val="both"/>
              <w:rPr>
                <w:rFonts w:ascii="Arial" w:eastAsia="Times New Roman" w:hAnsi="Arial" w:cs="Arial"/>
                <w:bCs/>
                <w:sz w:val="20"/>
                <w:szCs w:val="20"/>
                <w:lang w:eastAsia="es-CR"/>
              </w:rPr>
            </w:pPr>
            <w:r w:rsidRPr="00167656">
              <w:rPr>
                <w:rFonts w:ascii="Arial" w:eastAsia="Times New Roman" w:hAnsi="Arial" w:cs="Arial"/>
                <w:bCs/>
                <w:sz w:val="20"/>
                <w:szCs w:val="20"/>
                <w:lang w:eastAsia="es-CR"/>
              </w:rPr>
              <w:t>- Se identificó una posible ubicación dentro de la finca para construir una planta de tratamiento, según las disposiciones del AyA. Además se  cotizó su costo para la construcción.</w:t>
            </w:r>
          </w:p>
          <w:p w:rsidR="00672FF2" w:rsidRPr="00167656" w:rsidRDefault="00672FF2" w:rsidP="0028677A">
            <w:pPr>
              <w:spacing w:after="0" w:line="240" w:lineRule="auto"/>
              <w:jc w:val="both"/>
              <w:rPr>
                <w:rFonts w:ascii="Arial" w:eastAsia="Times New Roman" w:hAnsi="Arial" w:cs="Arial"/>
                <w:bCs/>
                <w:sz w:val="20"/>
                <w:szCs w:val="20"/>
                <w:lang w:eastAsia="es-CR"/>
              </w:rPr>
            </w:pPr>
            <w:r w:rsidRPr="00167656">
              <w:rPr>
                <w:rFonts w:ascii="Arial" w:eastAsia="Times New Roman" w:hAnsi="Arial" w:cs="Arial"/>
                <w:bCs/>
                <w:sz w:val="20"/>
                <w:szCs w:val="20"/>
                <w:lang w:eastAsia="es-CR"/>
              </w:rPr>
              <w:t>- Se encuentra en proceso la modificación de los planos de catastro de la reserva.</w:t>
            </w:r>
          </w:p>
          <w:p w:rsidR="00672FF2" w:rsidRPr="00167656" w:rsidRDefault="00672FF2" w:rsidP="0028677A">
            <w:pPr>
              <w:spacing w:after="0" w:line="240" w:lineRule="auto"/>
              <w:jc w:val="both"/>
              <w:rPr>
                <w:rFonts w:ascii="Arial" w:eastAsia="Times New Roman" w:hAnsi="Arial" w:cs="Arial"/>
                <w:bCs/>
                <w:sz w:val="20"/>
                <w:szCs w:val="20"/>
                <w:lang w:eastAsia="es-CR"/>
              </w:rPr>
            </w:pPr>
            <w:r w:rsidRPr="00167656">
              <w:rPr>
                <w:rFonts w:ascii="Arial" w:eastAsia="Times New Roman" w:hAnsi="Arial" w:cs="Arial"/>
                <w:bCs/>
                <w:sz w:val="20"/>
                <w:szCs w:val="20"/>
                <w:lang w:eastAsia="es-CR"/>
              </w:rPr>
              <w:t xml:space="preserve">- Se realizó un levantamiento de curvas de nivel y se tomaron fotografías aéreas </w:t>
            </w:r>
            <w:r w:rsidR="00167656" w:rsidRPr="00167656">
              <w:rPr>
                <w:rFonts w:ascii="Arial" w:eastAsia="Times New Roman" w:hAnsi="Arial" w:cs="Arial"/>
                <w:bCs/>
                <w:sz w:val="20"/>
                <w:szCs w:val="20"/>
                <w:lang w:eastAsia="es-CR"/>
              </w:rPr>
              <w:t>georreferenciadas</w:t>
            </w:r>
            <w:r w:rsidRPr="00167656">
              <w:rPr>
                <w:rFonts w:ascii="Arial" w:eastAsia="Times New Roman" w:hAnsi="Arial" w:cs="Arial"/>
                <w:bCs/>
                <w:sz w:val="20"/>
                <w:szCs w:val="20"/>
                <w:lang w:eastAsia="es-CR"/>
              </w:rPr>
              <w:t>.</w:t>
            </w:r>
          </w:p>
          <w:p w:rsidR="00672FF2" w:rsidRPr="00167656" w:rsidRDefault="00672FF2" w:rsidP="0028677A">
            <w:pPr>
              <w:spacing w:after="0" w:line="240" w:lineRule="auto"/>
              <w:jc w:val="both"/>
              <w:rPr>
                <w:rFonts w:ascii="Arial" w:eastAsia="Times New Roman" w:hAnsi="Arial" w:cs="Arial"/>
                <w:bCs/>
                <w:sz w:val="20"/>
                <w:szCs w:val="20"/>
                <w:lang w:eastAsia="es-CR"/>
              </w:rPr>
            </w:pPr>
            <w:r w:rsidRPr="00167656">
              <w:rPr>
                <w:rFonts w:ascii="Arial" w:eastAsia="Times New Roman" w:hAnsi="Arial" w:cs="Arial"/>
                <w:bCs/>
                <w:sz w:val="20"/>
                <w:szCs w:val="20"/>
                <w:lang w:eastAsia="es-CR"/>
              </w:rPr>
              <w:t>- Se realizó un presupuesto nuevo con la inclusión de la planta de tratamiento, para todo el asentamiento de San Juan incluidas las 3 etapas.</w:t>
            </w:r>
          </w:p>
          <w:p w:rsidR="00672FF2" w:rsidRPr="00167656" w:rsidRDefault="00672FF2" w:rsidP="0028677A">
            <w:pPr>
              <w:spacing w:after="0" w:line="240" w:lineRule="auto"/>
              <w:jc w:val="both"/>
              <w:rPr>
                <w:rFonts w:ascii="Arial" w:eastAsia="Times New Roman" w:hAnsi="Arial" w:cs="Arial"/>
                <w:b/>
                <w:bCs/>
                <w:sz w:val="20"/>
                <w:szCs w:val="20"/>
                <w:lang w:eastAsia="es-CR"/>
              </w:rPr>
            </w:pPr>
            <w:r w:rsidRPr="00167656">
              <w:rPr>
                <w:rFonts w:ascii="Arial" w:eastAsia="Times New Roman" w:hAnsi="Arial" w:cs="Arial"/>
                <w:bCs/>
                <w:sz w:val="20"/>
                <w:szCs w:val="20"/>
                <w:lang w:eastAsia="es-CR"/>
              </w:rPr>
              <w:t>- Se preparó el expediente para el BANHVI con los requisitos de solicitud de la modificación del perfil y la ampliación del monto de financiamiento. Sin embargo, el BANHVI, solicitó una nota del MIVAH, recomendando la modificación del perfil como prioridad. Se está a la espera del citado documento.</w:t>
            </w:r>
          </w:p>
        </w:tc>
      </w:tr>
      <w:tr w:rsidR="00672FF2" w:rsidRPr="00167656" w:rsidTr="002D5BDD">
        <w:trPr>
          <w:trHeight w:val="691"/>
        </w:trPr>
        <w:tc>
          <w:tcPr>
            <w:tcW w:w="2358" w:type="pct"/>
            <w:shd w:val="clear" w:color="auto" w:fill="auto"/>
            <w:hideMark/>
          </w:tcPr>
          <w:p w:rsidR="00672FF2" w:rsidRPr="00167656" w:rsidRDefault="00672FF2" w:rsidP="0028677A">
            <w:pPr>
              <w:spacing w:line="240" w:lineRule="auto"/>
              <w:rPr>
                <w:rFonts w:ascii="Arial" w:eastAsia="Times New Roman" w:hAnsi="Arial" w:cs="Arial"/>
                <w:b/>
                <w:bCs/>
                <w:sz w:val="20"/>
                <w:szCs w:val="20"/>
                <w:lang w:eastAsia="es-CR"/>
              </w:rPr>
            </w:pPr>
            <w:r w:rsidRPr="00167656">
              <w:rPr>
                <w:rFonts w:ascii="Arial" w:eastAsia="Times New Roman" w:hAnsi="Arial" w:cs="Arial"/>
                <w:b/>
                <w:bCs/>
                <w:sz w:val="20"/>
                <w:szCs w:val="20"/>
                <w:lang w:eastAsia="es-CR"/>
              </w:rPr>
              <w:t xml:space="preserve">b) Limitaciones: </w:t>
            </w:r>
          </w:p>
          <w:p w:rsidR="00672FF2" w:rsidRPr="00167656" w:rsidRDefault="00672FF2" w:rsidP="0028677A">
            <w:pPr>
              <w:spacing w:line="240" w:lineRule="auto"/>
              <w:rPr>
                <w:rFonts w:ascii="Arial" w:eastAsia="Times New Roman" w:hAnsi="Arial" w:cs="Arial"/>
                <w:b/>
                <w:bCs/>
                <w:sz w:val="20"/>
                <w:szCs w:val="20"/>
                <w:lang w:eastAsia="es-CR"/>
              </w:rPr>
            </w:pPr>
          </w:p>
          <w:p w:rsidR="00672FF2" w:rsidRPr="00167656" w:rsidRDefault="00672FF2" w:rsidP="0028677A">
            <w:pPr>
              <w:spacing w:line="240" w:lineRule="auto"/>
              <w:rPr>
                <w:rFonts w:ascii="Arial" w:eastAsia="Times New Roman" w:hAnsi="Arial" w:cs="Arial"/>
                <w:b/>
                <w:bCs/>
                <w:sz w:val="20"/>
                <w:szCs w:val="20"/>
                <w:lang w:eastAsia="es-CR"/>
              </w:rPr>
            </w:pPr>
          </w:p>
        </w:tc>
        <w:tc>
          <w:tcPr>
            <w:tcW w:w="2642" w:type="pct"/>
            <w:shd w:val="clear" w:color="auto" w:fill="auto"/>
          </w:tcPr>
          <w:p w:rsidR="00672FF2" w:rsidRPr="00167656" w:rsidRDefault="00672FF2" w:rsidP="0028677A">
            <w:pPr>
              <w:spacing w:after="0" w:line="240" w:lineRule="auto"/>
              <w:jc w:val="both"/>
              <w:rPr>
                <w:rFonts w:ascii="Arial" w:eastAsia="Times New Roman" w:hAnsi="Arial" w:cs="Arial"/>
                <w:bCs/>
                <w:sz w:val="20"/>
                <w:szCs w:val="20"/>
                <w:lang w:eastAsia="es-CR"/>
              </w:rPr>
            </w:pPr>
            <w:r w:rsidRPr="00167656">
              <w:rPr>
                <w:rFonts w:ascii="Arial" w:eastAsia="Times New Roman" w:hAnsi="Arial" w:cs="Arial"/>
                <w:bCs/>
                <w:sz w:val="20"/>
                <w:szCs w:val="20"/>
                <w:lang w:eastAsia="es-CR"/>
              </w:rPr>
              <w:t>- En el terreno existen invasiones y  estructuras habitacionales informales de 80 familias aproximadamente, que dificultan la formulación y desarrollo del proyecto.</w:t>
            </w:r>
          </w:p>
          <w:p w:rsidR="00672FF2" w:rsidRDefault="00672FF2" w:rsidP="0028677A">
            <w:pPr>
              <w:spacing w:after="0" w:line="240" w:lineRule="auto"/>
              <w:jc w:val="both"/>
              <w:rPr>
                <w:rFonts w:ascii="Arial" w:eastAsia="Times New Roman" w:hAnsi="Arial" w:cs="Arial"/>
                <w:bCs/>
                <w:sz w:val="20"/>
                <w:szCs w:val="20"/>
                <w:lang w:eastAsia="es-CR"/>
              </w:rPr>
            </w:pPr>
            <w:r w:rsidRPr="00167656">
              <w:rPr>
                <w:rFonts w:ascii="Arial" w:eastAsia="Times New Roman" w:hAnsi="Arial" w:cs="Arial"/>
                <w:bCs/>
                <w:sz w:val="20"/>
                <w:szCs w:val="20"/>
                <w:lang w:eastAsia="es-CR"/>
              </w:rPr>
              <w:t>- Tiempo de espera del documento de recomendación por parte del MIVAH.</w:t>
            </w:r>
          </w:p>
          <w:p w:rsidR="00167656" w:rsidRPr="00167656" w:rsidRDefault="00167656" w:rsidP="0028677A">
            <w:pPr>
              <w:spacing w:after="0" w:line="240" w:lineRule="auto"/>
              <w:jc w:val="both"/>
              <w:rPr>
                <w:rFonts w:ascii="Arial" w:eastAsia="Times New Roman" w:hAnsi="Arial" w:cs="Arial"/>
                <w:b/>
                <w:bCs/>
                <w:sz w:val="20"/>
                <w:szCs w:val="20"/>
                <w:lang w:eastAsia="es-CR"/>
              </w:rPr>
            </w:pPr>
          </w:p>
        </w:tc>
      </w:tr>
      <w:tr w:rsidR="00672FF2" w:rsidRPr="00167656" w:rsidTr="002D5BDD">
        <w:trPr>
          <w:trHeight w:val="461"/>
        </w:trPr>
        <w:tc>
          <w:tcPr>
            <w:tcW w:w="2358" w:type="pct"/>
            <w:shd w:val="clear" w:color="auto" w:fill="auto"/>
            <w:hideMark/>
          </w:tcPr>
          <w:p w:rsidR="00672FF2" w:rsidRPr="00167656" w:rsidRDefault="00672FF2" w:rsidP="0028677A">
            <w:pPr>
              <w:spacing w:line="240" w:lineRule="auto"/>
              <w:rPr>
                <w:rFonts w:ascii="Arial" w:eastAsia="Times New Roman" w:hAnsi="Arial" w:cs="Arial"/>
                <w:b/>
                <w:bCs/>
                <w:sz w:val="20"/>
                <w:szCs w:val="20"/>
                <w:lang w:eastAsia="es-CR"/>
              </w:rPr>
            </w:pPr>
            <w:r w:rsidRPr="00167656">
              <w:rPr>
                <w:rFonts w:ascii="Arial" w:eastAsia="Times New Roman" w:hAnsi="Arial" w:cs="Arial"/>
                <w:b/>
                <w:bCs/>
                <w:sz w:val="20"/>
                <w:szCs w:val="20"/>
                <w:lang w:eastAsia="es-CR"/>
              </w:rPr>
              <w:t>c) Medidas correctivas o acciones de mejora (realizadas y por realizar) para el logro de la meta:</w:t>
            </w:r>
          </w:p>
        </w:tc>
        <w:tc>
          <w:tcPr>
            <w:tcW w:w="2642" w:type="pct"/>
            <w:shd w:val="clear" w:color="auto" w:fill="auto"/>
          </w:tcPr>
          <w:p w:rsidR="00672FF2" w:rsidRPr="00167656" w:rsidRDefault="00672FF2" w:rsidP="0028677A">
            <w:pPr>
              <w:spacing w:line="240" w:lineRule="auto"/>
              <w:rPr>
                <w:rFonts w:ascii="Arial" w:eastAsia="Times New Roman" w:hAnsi="Arial" w:cs="Arial"/>
                <w:bCs/>
                <w:sz w:val="20"/>
                <w:szCs w:val="20"/>
                <w:lang w:eastAsia="es-CR"/>
              </w:rPr>
            </w:pPr>
            <w:r w:rsidRPr="00167656">
              <w:rPr>
                <w:rFonts w:ascii="Arial" w:eastAsia="Times New Roman" w:hAnsi="Arial" w:cs="Arial"/>
                <w:bCs/>
                <w:sz w:val="20"/>
                <w:szCs w:val="20"/>
                <w:lang w:eastAsia="es-CR"/>
              </w:rPr>
              <w:t>Ajuste integral del perfil del proyecto para que contemplen todas las variables en términos de infraestructura.</w:t>
            </w:r>
          </w:p>
        </w:tc>
      </w:tr>
      <w:tr w:rsidR="00672FF2" w:rsidRPr="00167656" w:rsidTr="00167656">
        <w:trPr>
          <w:trHeight w:val="638"/>
        </w:trPr>
        <w:tc>
          <w:tcPr>
            <w:tcW w:w="2358" w:type="pct"/>
            <w:shd w:val="clear" w:color="auto" w:fill="auto"/>
          </w:tcPr>
          <w:p w:rsidR="00672FF2" w:rsidRPr="00167656" w:rsidRDefault="00672FF2" w:rsidP="0028677A">
            <w:pPr>
              <w:spacing w:line="240" w:lineRule="auto"/>
              <w:rPr>
                <w:rFonts w:ascii="Arial" w:eastAsia="Times New Roman" w:hAnsi="Arial" w:cs="Arial"/>
                <w:b/>
                <w:bCs/>
                <w:sz w:val="20"/>
                <w:szCs w:val="20"/>
                <w:lang w:eastAsia="es-CR"/>
              </w:rPr>
            </w:pPr>
            <w:r w:rsidRPr="00167656">
              <w:rPr>
                <w:rFonts w:ascii="Arial" w:eastAsia="Times New Roman" w:hAnsi="Arial" w:cs="Arial"/>
                <w:b/>
                <w:bCs/>
                <w:sz w:val="20"/>
                <w:szCs w:val="20"/>
                <w:lang w:eastAsia="es-CR"/>
              </w:rPr>
              <w:t>Observaciones:</w:t>
            </w:r>
          </w:p>
        </w:tc>
        <w:tc>
          <w:tcPr>
            <w:tcW w:w="2642" w:type="pct"/>
            <w:shd w:val="clear" w:color="auto" w:fill="auto"/>
          </w:tcPr>
          <w:p w:rsidR="00672FF2" w:rsidRPr="00167656" w:rsidRDefault="00672FF2" w:rsidP="0028677A">
            <w:pPr>
              <w:spacing w:line="240" w:lineRule="auto"/>
              <w:rPr>
                <w:rFonts w:ascii="Arial" w:eastAsia="Times New Roman" w:hAnsi="Arial" w:cs="Arial"/>
                <w:bCs/>
                <w:sz w:val="20"/>
                <w:szCs w:val="20"/>
                <w:lang w:eastAsia="es-CR"/>
              </w:rPr>
            </w:pPr>
            <w:r w:rsidRPr="00167656">
              <w:rPr>
                <w:rFonts w:ascii="Arial" w:eastAsia="Times New Roman" w:hAnsi="Arial" w:cs="Arial"/>
                <w:bCs/>
                <w:sz w:val="20"/>
                <w:szCs w:val="20"/>
                <w:lang w:eastAsia="es-CR"/>
              </w:rPr>
              <w:t>Este proyecto se ubica en San José, en el distrito Central.</w:t>
            </w:r>
          </w:p>
        </w:tc>
      </w:tr>
    </w:tbl>
    <w:p w:rsidR="00672FF2" w:rsidRPr="00167656" w:rsidRDefault="00672FF2" w:rsidP="0028677A">
      <w:pPr>
        <w:spacing w:line="240" w:lineRule="auto"/>
        <w:rPr>
          <w:rFonts w:ascii="Arial" w:eastAsia="Times New Roman" w:hAnsi="Arial" w:cs="Arial"/>
          <w:bCs/>
          <w:sz w:val="18"/>
          <w:szCs w:val="18"/>
          <w:lang w:eastAsia="es-CR"/>
        </w:rPr>
      </w:pPr>
      <w:r w:rsidRPr="00167656">
        <w:rPr>
          <w:rFonts w:ascii="Arial" w:eastAsia="Times New Roman" w:hAnsi="Arial" w:cs="Arial"/>
          <w:bCs/>
          <w:sz w:val="18"/>
          <w:szCs w:val="18"/>
          <w:lang w:eastAsia="es-CR"/>
        </w:rPr>
        <w:t>Nota Fuente: Informe de rendimiento de cuentas de área. (2017)</w:t>
      </w:r>
    </w:p>
    <w:p w:rsidR="00672FF2" w:rsidRPr="00167656" w:rsidRDefault="00672FF2" w:rsidP="00672FF2">
      <w:pPr>
        <w:rPr>
          <w:rFonts w:ascii="Arial" w:eastAsia="Times New Roman" w:hAnsi="Arial" w:cs="Arial"/>
          <w:b/>
          <w:bCs/>
          <w:sz w:val="20"/>
          <w:szCs w:val="20"/>
          <w:lang w:eastAsia="es-CR"/>
        </w:rPr>
      </w:pPr>
      <w:r w:rsidRPr="00167656">
        <w:rPr>
          <w:rFonts w:ascii="Arial" w:eastAsia="Times New Roman" w:hAnsi="Arial" w:cs="Arial"/>
          <w:b/>
          <w:bCs/>
          <w:sz w:val="20"/>
          <w:szCs w:val="20"/>
          <w:lang w:eastAsia="es-CR"/>
        </w:rPr>
        <w:lastRenderedPageBreak/>
        <w:t>ESTUDIOS PRELIMINARES DE INGENIERÍA DE PROYECTOS POR DESARROLLAR</w:t>
      </w:r>
    </w:p>
    <w:p w:rsidR="00672FF2" w:rsidRPr="00167656" w:rsidRDefault="00672FF2" w:rsidP="00672FF2">
      <w:pPr>
        <w:rPr>
          <w:rFonts w:ascii="Arial" w:eastAsia="Times New Roman" w:hAnsi="Arial" w:cs="Arial"/>
          <w:b/>
          <w:bCs/>
          <w:sz w:val="20"/>
          <w:szCs w:val="20"/>
          <w:lang w:eastAsia="es-CR"/>
        </w:rPr>
      </w:pPr>
      <w:r w:rsidRPr="00167656">
        <w:rPr>
          <w:rFonts w:ascii="Arial" w:eastAsia="Times New Roman" w:hAnsi="Arial" w:cs="Arial"/>
          <w:b/>
          <w:bCs/>
          <w:sz w:val="20"/>
          <w:szCs w:val="20"/>
          <w:lang w:eastAsia="es-CR"/>
        </w:rPr>
        <w:t>Indicador N°35 Porcentaje de avance en los estudios previos de ingeniería de siete proyectos para elaborar el perfil</w:t>
      </w:r>
    </w:p>
    <w:p w:rsidR="00672FF2" w:rsidRPr="00167656" w:rsidRDefault="00672FF2" w:rsidP="00167656">
      <w:pPr>
        <w:jc w:val="both"/>
        <w:rPr>
          <w:rFonts w:ascii="Arial" w:eastAsia="Times New Roman" w:hAnsi="Arial" w:cs="Arial"/>
          <w:bCs/>
          <w:sz w:val="20"/>
          <w:szCs w:val="20"/>
          <w:lang w:eastAsia="es-CR"/>
        </w:rPr>
      </w:pPr>
      <w:r w:rsidRPr="00167656">
        <w:rPr>
          <w:rFonts w:ascii="Arial" w:eastAsia="Times New Roman" w:hAnsi="Arial" w:cs="Arial"/>
          <w:bCs/>
          <w:sz w:val="20"/>
          <w:szCs w:val="20"/>
          <w:lang w:eastAsia="es-CR"/>
        </w:rPr>
        <w:t>A diciembre no se realizó ningún estudio, porque se encuentra en proceso la contratación y adjudicación de las empresas precalificadas, que realizarán la ejecución de los estudios previos de ingeniería, a nivel de Geotecnia y Gestión Ambiental.</w:t>
      </w:r>
    </w:p>
    <w:p w:rsidR="00672FF2" w:rsidRPr="00167656" w:rsidRDefault="00672FF2" w:rsidP="00167656">
      <w:pPr>
        <w:jc w:val="both"/>
        <w:rPr>
          <w:rFonts w:ascii="Arial" w:eastAsia="Times New Roman" w:hAnsi="Arial" w:cs="Arial"/>
          <w:bCs/>
          <w:sz w:val="20"/>
          <w:szCs w:val="20"/>
          <w:lang w:eastAsia="es-CR"/>
        </w:rPr>
      </w:pPr>
      <w:r w:rsidRPr="00167656">
        <w:rPr>
          <w:rFonts w:ascii="Arial" w:eastAsia="Times New Roman" w:hAnsi="Arial" w:cs="Arial"/>
          <w:bCs/>
          <w:sz w:val="20"/>
          <w:szCs w:val="20"/>
          <w:lang w:eastAsia="es-CR"/>
        </w:rPr>
        <w:t>Seguidamente se muestra un detalle de lo actuado:</w:t>
      </w:r>
    </w:p>
    <w:tbl>
      <w:tblPr>
        <w:tblW w:w="9103" w:type="dxa"/>
        <w:tblBorders>
          <w:insideH w:val="single" w:sz="6" w:space="0" w:color="000000"/>
          <w:insideV w:val="single" w:sz="6" w:space="0" w:color="000000"/>
        </w:tblBorders>
        <w:tblLook w:val="04A0" w:firstRow="1" w:lastRow="0" w:firstColumn="1" w:lastColumn="0" w:noHBand="0" w:noVBand="1"/>
      </w:tblPr>
      <w:tblGrid>
        <w:gridCol w:w="4293"/>
        <w:gridCol w:w="4810"/>
      </w:tblGrid>
      <w:tr w:rsidR="00672FF2" w:rsidRPr="00600A17" w:rsidTr="002D5BDD">
        <w:trPr>
          <w:trHeight w:val="270"/>
        </w:trPr>
        <w:tc>
          <w:tcPr>
            <w:tcW w:w="5000" w:type="pct"/>
            <w:gridSpan w:val="2"/>
            <w:shd w:val="clear" w:color="auto" w:fill="auto"/>
            <w:noWrap/>
            <w:hideMark/>
          </w:tcPr>
          <w:p w:rsidR="00672FF2" w:rsidRPr="00600A17" w:rsidRDefault="00672FF2" w:rsidP="00167656">
            <w:pPr>
              <w:jc w:val="center"/>
              <w:rPr>
                <w:rFonts w:ascii="Arial" w:eastAsia="Times New Roman" w:hAnsi="Arial" w:cs="Arial"/>
                <w:b/>
                <w:bCs/>
                <w:sz w:val="18"/>
                <w:szCs w:val="18"/>
                <w:lang w:eastAsia="es-CR"/>
              </w:rPr>
            </w:pPr>
            <w:r w:rsidRPr="00600A17">
              <w:rPr>
                <w:rFonts w:ascii="Arial" w:eastAsia="Times New Roman" w:hAnsi="Arial" w:cs="Arial"/>
                <w:b/>
                <w:bCs/>
                <w:sz w:val="18"/>
                <w:szCs w:val="18"/>
                <w:lang w:eastAsia="es-CR"/>
              </w:rPr>
              <w:t>Tabla 30 Acciones Realizadas</w:t>
            </w:r>
          </w:p>
        </w:tc>
      </w:tr>
      <w:tr w:rsidR="00672FF2" w:rsidRPr="00600A17" w:rsidTr="002D5BDD">
        <w:trPr>
          <w:trHeight w:val="825"/>
        </w:trPr>
        <w:tc>
          <w:tcPr>
            <w:tcW w:w="2358" w:type="pct"/>
            <w:shd w:val="clear" w:color="auto" w:fill="auto"/>
            <w:hideMark/>
          </w:tcPr>
          <w:p w:rsidR="00672FF2" w:rsidRPr="00600A17" w:rsidRDefault="00672FF2" w:rsidP="00672FF2">
            <w:pPr>
              <w:rPr>
                <w:rFonts w:ascii="Arial" w:eastAsia="Times New Roman" w:hAnsi="Arial" w:cs="Arial"/>
                <w:b/>
                <w:bCs/>
                <w:sz w:val="18"/>
                <w:szCs w:val="18"/>
                <w:lang w:eastAsia="es-CR"/>
              </w:rPr>
            </w:pPr>
            <w:r w:rsidRPr="00600A17">
              <w:rPr>
                <w:rFonts w:ascii="Arial" w:eastAsia="Times New Roman" w:hAnsi="Arial" w:cs="Arial"/>
                <w:b/>
                <w:bCs/>
                <w:sz w:val="18"/>
                <w:szCs w:val="18"/>
                <w:lang w:eastAsia="es-CR"/>
              </w:rPr>
              <w:t>a) Actividades realizadas:</w:t>
            </w:r>
          </w:p>
          <w:p w:rsidR="00672FF2" w:rsidRPr="00600A17" w:rsidRDefault="00672FF2" w:rsidP="00672FF2">
            <w:pPr>
              <w:rPr>
                <w:rFonts w:ascii="Arial" w:eastAsia="Times New Roman" w:hAnsi="Arial" w:cs="Arial"/>
                <w:b/>
                <w:bCs/>
                <w:sz w:val="18"/>
                <w:szCs w:val="18"/>
                <w:lang w:eastAsia="es-CR"/>
              </w:rPr>
            </w:pPr>
          </w:p>
        </w:tc>
        <w:tc>
          <w:tcPr>
            <w:tcW w:w="2642" w:type="pct"/>
            <w:shd w:val="clear" w:color="auto" w:fill="auto"/>
          </w:tcPr>
          <w:p w:rsidR="00672FF2" w:rsidRPr="00600A17" w:rsidRDefault="00672FF2" w:rsidP="00167656">
            <w:pPr>
              <w:pStyle w:val="Prrafodelista"/>
              <w:spacing w:after="0" w:line="240" w:lineRule="auto"/>
              <w:ind w:left="0"/>
              <w:contextualSpacing w:val="0"/>
              <w:jc w:val="both"/>
              <w:rPr>
                <w:rFonts w:ascii="Arial" w:eastAsia="Times New Roman" w:hAnsi="Arial" w:cs="Arial"/>
                <w:bCs/>
                <w:sz w:val="18"/>
                <w:szCs w:val="18"/>
                <w:lang w:val="es-ES" w:eastAsia="es-CR"/>
              </w:rPr>
            </w:pPr>
            <w:r w:rsidRPr="00600A17">
              <w:rPr>
                <w:rFonts w:ascii="Arial" w:eastAsia="Times New Roman" w:hAnsi="Arial" w:cs="Arial"/>
                <w:bCs/>
                <w:sz w:val="18"/>
                <w:szCs w:val="18"/>
                <w:lang w:val="es-ES" w:eastAsia="es-CR"/>
              </w:rPr>
              <w:t>- Se elaboró los términos de referencia para la precalificación de las empresas y se sometió a revisión por parte de Gerencia General, Unidades de Adquisiciones y Contrataciones y Asesoría Legal.</w:t>
            </w:r>
          </w:p>
          <w:p w:rsidR="00672FF2" w:rsidRPr="00600A17" w:rsidRDefault="00672FF2" w:rsidP="00167656">
            <w:pPr>
              <w:pStyle w:val="Prrafodelista"/>
              <w:spacing w:after="0" w:line="240" w:lineRule="auto"/>
              <w:ind w:left="0"/>
              <w:contextualSpacing w:val="0"/>
              <w:jc w:val="both"/>
              <w:rPr>
                <w:rFonts w:ascii="Arial" w:eastAsia="Times New Roman" w:hAnsi="Arial" w:cs="Arial"/>
                <w:bCs/>
                <w:sz w:val="18"/>
                <w:szCs w:val="18"/>
                <w:lang w:val="es-ES" w:eastAsia="es-CR"/>
              </w:rPr>
            </w:pPr>
            <w:r w:rsidRPr="00600A17">
              <w:rPr>
                <w:rFonts w:ascii="Arial" w:eastAsia="Times New Roman" w:hAnsi="Arial" w:cs="Arial"/>
                <w:bCs/>
                <w:sz w:val="18"/>
                <w:szCs w:val="18"/>
                <w:lang w:val="es-ES" w:eastAsia="es-CR"/>
              </w:rPr>
              <w:t>- Se publicó el cartel en Mer-Link y se recibieron las ofertas de empresas interesadas.</w:t>
            </w:r>
          </w:p>
          <w:p w:rsidR="00672FF2" w:rsidRPr="00600A17" w:rsidRDefault="00672FF2" w:rsidP="00167656">
            <w:pPr>
              <w:pStyle w:val="Prrafodelista"/>
              <w:spacing w:after="0" w:line="240" w:lineRule="auto"/>
              <w:ind w:left="0"/>
              <w:contextualSpacing w:val="0"/>
              <w:jc w:val="both"/>
              <w:rPr>
                <w:rFonts w:ascii="Arial" w:eastAsia="Times New Roman" w:hAnsi="Arial" w:cs="Arial"/>
                <w:bCs/>
                <w:sz w:val="18"/>
                <w:szCs w:val="18"/>
                <w:lang w:val="es-ES" w:eastAsia="es-CR"/>
              </w:rPr>
            </w:pPr>
            <w:r w:rsidRPr="00600A17">
              <w:rPr>
                <w:rFonts w:ascii="Arial" w:eastAsia="Times New Roman" w:hAnsi="Arial" w:cs="Arial"/>
                <w:bCs/>
                <w:sz w:val="18"/>
                <w:szCs w:val="18"/>
                <w:lang w:val="es-ES" w:eastAsia="es-CR"/>
              </w:rPr>
              <w:t>- Se realizó el análisis documental y técnico de las ofertas recibidas así como las observaciones para subsanar.</w:t>
            </w:r>
          </w:p>
          <w:p w:rsidR="00672FF2" w:rsidRPr="00600A17" w:rsidRDefault="00672FF2" w:rsidP="00167656">
            <w:pPr>
              <w:pStyle w:val="Prrafodelista"/>
              <w:spacing w:after="0" w:line="240" w:lineRule="auto"/>
              <w:ind w:left="0"/>
              <w:contextualSpacing w:val="0"/>
              <w:jc w:val="both"/>
              <w:rPr>
                <w:rFonts w:ascii="Arial" w:eastAsia="Times New Roman" w:hAnsi="Arial" w:cs="Arial"/>
                <w:bCs/>
                <w:sz w:val="18"/>
                <w:szCs w:val="18"/>
                <w:lang w:val="es-ES" w:eastAsia="es-CR"/>
              </w:rPr>
            </w:pPr>
            <w:r w:rsidRPr="00600A17">
              <w:rPr>
                <w:rFonts w:ascii="Arial" w:eastAsia="Times New Roman" w:hAnsi="Arial" w:cs="Arial"/>
                <w:bCs/>
                <w:sz w:val="18"/>
                <w:szCs w:val="18"/>
                <w:lang w:val="es-ES" w:eastAsia="es-CR"/>
              </w:rPr>
              <w:t>- Se emitió criterio final con recomendación de adjudicación mediante oficio DPH-UPH-332-2017.</w:t>
            </w:r>
          </w:p>
          <w:p w:rsidR="00672FF2" w:rsidRPr="00600A17" w:rsidRDefault="00672FF2" w:rsidP="00167656">
            <w:pPr>
              <w:pStyle w:val="Prrafodelista"/>
              <w:spacing w:after="0" w:line="240" w:lineRule="auto"/>
              <w:ind w:left="0"/>
              <w:contextualSpacing w:val="0"/>
              <w:jc w:val="both"/>
              <w:rPr>
                <w:rFonts w:ascii="Arial" w:eastAsia="Times New Roman" w:hAnsi="Arial" w:cs="Arial"/>
                <w:bCs/>
                <w:sz w:val="18"/>
                <w:szCs w:val="18"/>
                <w:lang w:val="es-ES" w:eastAsia="es-CR"/>
              </w:rPr>
            </w:pPr>
            <w:r w:rsidRPr="00600A17">
              <w:rPr>
                <w:rFonts w:ascii="Arial" w:eastAsia="Times New Roman" w:hAnsi="Arial" w:cs="Arial"/>
                <w:bCs/>
                <w:sz w:val="18"/>
                <w:szCs w:val="18"/>
                <w:lang w:val="es-ES" w:eastAsia="es-CR"/>
              </w:rPr>
              <w:t>- Se finalizó el proceso de precalificación de las empresas (Licitación pública 2017LN-000002-0005800001).</w:t>
            </w:r>
          </w:p>
          <w:p w:rsidR="00672FF2" w:rsidRPr="00600A17" w:rsidRDefault="00672FF2" w:rsidP="00167656">
            <w:pPr>
              <w:pStyle w:val="Prrafodelista"/>
              <w:spacing w:after="0" w:line="240" w:lineRule="auto"/>
              <w:ind w:left="0"/>
              <w:contextualSpacing w:val="0"/>
              <w:jc w:val="both"/>
              <w:rPr>
                <w:rFonts w:ascii="Arial" w:eastAsia="Times New Roman" w:hAnsi="Arial" w:cs="Arial"/>
                <w:bCs/>
                <w:sz w:val="18"/>
                <w:szCs w:val="18"/>
                <w:lang w:val="es-ES" w:eastAsia="es-CR"/>
              </w:rPr>
            </w:pPr>
            <w:r w:rsidRPr="00600A17">
              <w:rPr>
                <w:rFonts w:ascii="Arial" w:eastAsia="Times New Roman" w:hAnsi="Arial" w:cs="Arial"/>
                <w:bCs/>
                <w:sz w:val="18"/>
                <w:szCs w:val="18"/>
                <w:lang w:val="es-ES" w:eastAsia="es-CR"/>
              </w:rPr>
              <w:t xml:space="preserve">- </w:t>
            </w:r>
            <w:r w:rsidRPr="00600A17">
              <w:rPr>
                <w:rFonts w:ascii="Arial" w:eastAsia="Times New Roman" w:hAnsi="Arial" w:cs="Arial"/>
                <w:bCs/>
                <w:sz w:val="18"/>
                <w:szCs w:val="18"/>
                <w:lang w:val="es-ES" w:eastAsia="es-CR"/>
              </w:rPr>
              <w:tab/>
              <w:t>La Junta Directiva adjudicó seis empresas precalificadas, mediante el acuerdo JD-242-2017, para realizar los estudios.</w:t>
            </w:r>
          </w:p>
          <w:p w:rsidR="00672FF2" w:rsidRPr="00600A17" w:rsidRDefault="00672FF2" w:rsidP="00167656">
            <w:pPr>
              <w:pStyle w:val="Prrafodelista"/>
              <w:spacing w:after="0" w:line="240" w:lineRule="auto"/>
              <w:ind w:left="0"/>
              <w:contextualSpacing w:val="0"/>
              <w:jc w:val="both"/>
              <w:rPr>
                <w:rFonts w:ascii="Arial" w:eastAsia="Times New Roman" w:hAnsi="Arial" w:cs="Arial"/>
                <w:bCs/>
                <w:sz w:val="18"/>
                <w:szCs w:val="18"/>
                <w:lang w:val="es-ES" w:eastAsia="es-CR"/>
              </w:rPr>
            </w:pPr>
            <w:r w:rsidRPr="00600A17">
              <w:rPr>
                <w:rFonts w:ascii="Arial" w:eastAsia="Times New Roman" w:hAnsi="Arial" w:cs="Arial"/>
                <w:bCs/>
                <w:sz w:val="18"/>
                <w:szCs w:val="18"/>
                <w:lang w:val="es-ES" w:eastAsia="es-CR"/>
              </w:rPr>
              <w:t>- Se elaboró el cartel con los términos y condiciones para la contratación especifica de estudios de Geotecnia del concurso cerrado N°2.</w:t>
            </w:r>
          </w:p>
          <w:p w:rsidR="00672FF2" w:rsidRPr="00600A17" w:rsidRDefault="00672FF2" w:rsidP="00167656">
            <w:pPr>
              <w:pStyle w:val="Prrafodelista"/>
              <w:spacing w:after="0" w:line="240" w:lineRule="auto"/>
              <w:ind w:left="0"/>
              <w:contextualSpacing w:val="0"/>
              <w:jc w:val="both"/>
              <w:rPr>
                <w:rFonts w:ascii="Arial" w:eastAsia="Times New Roman" w:hAnsi="Arial" w:cs="Arial"/>
                <w:bCs/>
                <w:sz w:val="18"/>
                <w:szCs w:val="18"/>
                <w:lang w:val="es-ES" w:eastAsia="es-CR"/>
              </w:rPr>
            </w:pPr>
            <w:r w:rsidRPr="00600A17">
              <w:rPr>
                <w:rFonts w:ascii="Arial" w:eastAsia="Times New Roman" w:hAnsi="Arial" w:cs="Arial"/>
                <w:bCs/>
                <w:sz w:val="18"/>
                <w:szCs w:val="18"/>
                <w:lang w:val="es-ES" w:eastAsia="es-CR"/>
              </w:rPr>
              <w:t>- Se realizó el proceso de evaluación de las ofertas, presentadas por las empresas precalificadas para la realización de estudios de Geotecnia.</w:t>
            </w:r>
          </w:p>
          <w:p w:rsidR="00672FF2" w:rsidRPr="00600A17" w:rsidRDefault="00672FF2" w:rsidP="00167656">
            <w:pPr>
              <w:pStyle w:val="Prrafodelista"/>
              <w:spacing w:after="0" w:line="240" w:lineRule="auto"/>
              <w:ind w:left="0"/>
              <w:contextualSpacing w:val="0"/>
              <w:jc w:val="both"/>
              <w:rPr>
                <w:rFonts w:ascii="Arial" w:eastAsia="Times New Roman" w:hAnsi="Arial" w:cs="Arial"/>
                <w:b/>
                <w:bCs/>
                <w:sz w:val="18"/>
                <w:szCs w:val="18"/>
                <w:lang w:eastAsia="es-CR"/>
              </w:rPr>
            </w:pPr>
            <w:r w:rsidRPr="00600A17">
              <w:rPr>
                <w:rFonts w:ascii="Arial" w:eastAsia="Times New Roman" w:hAnsi="Arial" w:cs="Arial"/>
                <w:bCs/>
                <w:sz w:val="18"/>
                <w:szCs w:val="18"/>
                <w:lang w:val="es-ES" w:eastAsia="es-CR"/>
              </w:rPr>
              <w:t>- Se completó el proceso de adjudicación de empresas para cada uno de los terrenos postulados dentro de la contratación específica de estudios geotécnicos (concurso cerrado N°2).</w:t>
            </w:r>
          </w:p>
        </w:tc>
      </w:tr>
      <w:tr w:rsidR="00672FF2" w:rsidRPr="00600A17" w:rsidTr="002D5BDD">
        <w:trPr>
          <w:trHeight w:val="705"/>
        </w:trPr>
        <w:tc>
          <w:tcPr>
            <w:tcW w:w="2358" w:type="pct"/>
            <w:shd w:val="clear" w:color="auto" w:fill="auto"/>
            <w:hideMark/>
          </w:tcPr>
          <w:p w:rsidR="00672FF2" w:rsidRPr="00600A17" w:rsidRDefault="00672FF2" w:rsidP="00550D4D">
            <w:pPr>
              <w:tabs>
                <w:tab w:val="left" w:pos="2042"/>
              </w:tabs>
              <w:rPr>
                <w:rFonts w:ascii="Arial" w:eastAsia="Times New Roman" w:hAnsi="Arial" w:cs="Arial"/>
                <w:b/>
                <w:bCs/>
                <w:sz w:val="18"/>
                <w:szCs w:val="18"/>
                <w:lang w:eastAsia="es-CR"/>
              </w:rPr>
            </w:pPr>
            <w:r w:rsidRPr="00600A17">
              <w:rPr>
                <w:rFonts w:ascii="Arial" w:eastAsia="Times New Roman" w:hAnsi="Arial" w:cs="Arial"/>
                <w:b/>
                <w:bCs/>
                <w:sz w:val="18"/>
                <w:szCs w:val="18"/>
                <w:lang w:eastAsia="es-CR"/>
              </w:rPr>
              <w:t xml:space="preserve">b) Limitaciones: </w:t>
            </w:r>
          </w:p>
        </w:tc>
        <w:tc>
          <w:tcPr>
            <w:tcW w:w="2642" w:type="pct"/>
            <w:shd w:val="clear" w:color="auto" w:fill="auto"/>
          </w:tcPr>
          <w:p w:rsidR="00672FF2" w:rsidRPr="00600A17" w:rsidRDefault="00672FF2" w:rsidP="00550D4D">
            <w:pPr>
              <w:pStyle w:val="Prrafodelista"/>
              <w:spacing w:after="0" w:line="240" w:lineRule="auto"/>
              <w:ind w:left="0"/>
              <w:contextualSpacing w:val="0"/>
              <w:jc w:val="both"/>
              <w:rPr>
                <w:rFonts w:ascii="Arial" w:eastAsia="Times New Roman" w:hAnsi="Arial" w:cs="Arial"/>
                <w:bCs/>
                <w:sz w:val="18"/>
                <w:szCs w:val="18"/>
                <w:lang w:val="es-ES" w:eastAsia="es-CR"/>
              </w:rPr>
            </w:pPr>
            <w:r w:rsidRPr="00600A17">
              <w:rPr>
                <w:rFonts w:ascii="Arial" w:eastAsia="Times New Roman" w:hAnsi="Arial" w:cs="Arial"/>
                <w:bCs/>
                <w:sz w:val="18"/>
                <w:szCs w:val="18"/>
                <w:lang w:val="es-ES" w:eastAsia="es-CR"/>
              </w:rPr>
              <w:t>- Proceso de revisión de documentación extenso, que en ocasiones requiere subsanar las ofertas.</w:t>
            </w:r>
          </w:p>
        </w:tc>
      </w:tr>
      <w:tr w:rsidR="00672FF2" w:rsidRPr="00600A17" w:rsidTr="002D5BDD">
        <w:trPr>
          <w:trHeight w:val="471"/>
        </w:trPr>
        <w:tc>
          <w:tcPr>
            <w:tcW w:w="2358" w:type="pct"/>
            <w:shd w:val="clear" w:color="auto" w:fill="auto"/>
            <w:hideMark/>
          </w:tcPr>
          <w:p w:rsidR="00672FF2" w:rsidRPr="00600A17" w:rsidRDefault="00672FF2" w:rsidP="00550D4D">
            <w:pPr>
              <w:rPr>
                <w:rFonts w:ascii="Arial" w:eastAsia="Times New Roman" w:hAnsi="Arial" w:cs="Arial"/>
                <w:b/>
                <w:bCs/>
                <w:sz w:val="18"/>
                <w:szCs w:val="18"/>
                <w:lang w:eastAsia="es-CR"/>
              </w:rPr>
            </w:pPr>
            <w:r w:rsidRPr="00600A17">
              <w:rPr>
                <w:rFonts w:ascii="Arial" w:eastAsia="Times New Roman" w:hAnsi="Arial" w:cs="Arial"/>
                <w:b/>
                <w:bCs/>
                <w:sz w:val="18"/>
                <w:szCs w:val="18"/>
                <w:lang w:eastAsia="es-CR"/>
              </w:rPr>
              <w:t>c) Medidas correctivas o acciones de mejora (realizadas y por realizar) para el logro de la meta:</w:t>
            </w:r>
          </w:p>
        </w:tc>
        <w:tc>
          <w:tcPr>
            <w:tcW w:w="2642" w:type="pct"/>
            <w:shd w:val="clear" w:color="auto" w:fill="auto"/>
          </w:tcPr>
          <w:p w:rsidR="00672FF2" w:rsidRPr="00600A17" w:rsidRDefault="00672FF2" w:rsidP="00167656">
            <w:pPr>
              <w:pStyle w:val="Prrafodelista"/>
              <w:spacing w:after="0" w:line="240" w:lineRule="auto"/>
              <w:ind w:left="0"/>
              <w:contextualSpacing w:val="0"/>
              <w:jc w:val="both"/>
              <w:rPr>
                <w:rFonts w:ascii="Arial" w:eastAsia="Times New Roman" w:hAnsi="Arial" w:cs="Arial"/>
                <w:bCs/>
                <w:sz w:val="18"/>
                <w:szCs w:val="18"/>
                <w:lang w:val="es-ES" w:eastAsia="es-CR"/>
              </w:rPr>
            </w:pPr>
            <w:r w:rsidRPr="00600A17">
              <w:rPr>
                <w:rFonts w:ascii="Arial" w:eastAsia="Times New Roman" w:hAnsi="Arial" w:cs="Arial"/>
                <w:bCs/>
                <w:sz w:val="18"/>
                <w:szCs w:val="18"/>
                <w:lang w:val="es-ES" w:eastAsia="es-CR"/>
              </w:rPr>
              <w:t>Definir y especificar ampliamente las condiciones y requisitos dentro del cartel.</w:t>
            </w:r>
          </w:p>
        </w:tc>
      </w:tr>
      <w:tr w:rsidR="00672FF2" w:rsidRPr="00600A17" w:rsidTr="002D5BDD">
        <w:trPr>
          <w:trHeight w:val="850"/>
        </w:trPr>
        <w:tc>
          <w:tcPr>
            <w:tcW w:w="2358" w:type="pct"/>
            <w:shd w:val="clear" w:color="auto" w:fill="auto"/>
          </w:tcPr>
          <w:p w:rsidR="00672FF2" w:rsidRPr="00600A17" w:rsidRDefault="00672FF2" w:rsidP="00672FF2">
            <w:pPr>
              <w:rPr>
                <w:rFonts w:ascii="Arial" w:eastAsia="Times New Roman" w:hAnsi="Arial" w:cs="Arial"/>
                <w:b/>
                <w:bCs/>
                <w:sz w:val="18"/>
                <w:szCs w:val="18"/>
                <w:lang w:eastAsia="es-CR"/>
              </w:rPr>
            </w:pPr>
            <w:r w:rsidRPr="00600A17">
              <w:rPr>
                <w:rFonts w:ascii="Arial" w:eastAsia="Times New Roman" w:hAnsi="Arial" w:cs="Arial"/>
                <w:b/>
                <w:bCs/>
                <w:sz w:val="18"/>
                <w:szCs w:val="18"/>
                <w:lang w:eastAsia="es-CR"/>
              </w:rPr>
              <w:t>d) Observaciones:</w:t>
            </w:r>
          </w:p>
        </w:tc>
        <w:tc>
          <w:tcPr>
            <w:tcW w:w="2642" w:type="pct"/>
            <w:shd w:val="clear" w:color="auto" w:fill="auto"/>
          </w:tcPr>
          <w:p w:rsidR="00672FF2" w:rsidRPr="00600A17" w:rsidRDefault="00672FF2" w:rsidP="00167656">
            <w:pPr>
              <w:pStyle w:val="Prrafodelista"/>
              <w:spacing w:after="0" w:line="240" w:lineRule="auto"/>
              <w:ind w:left="0"/>
              <w:contextualSpacing w:val="0"/>
              <w:jc w:val="both"/>
              <w:rPr>
                <w:rFonts w:ascii="Arial" w:eastAsia="Times New Roman" w:hAnsi="Arial" w:cs="Arial"/>
                <w:bCs/>
                <w:sz w:val="18"/>
                <w:szCs w:val="18"/>
                <w:lang w:val="es-ES" w:eastAsia="es-CR"/>
              </w:rPr>
            </w:pPr>
            <w:r w:rsidRPr="00600A17">
              <w:rPr>
                <w:rFonts w:ascii="Arial" w:eastAsia="Times New Roman" w:hAnsi="Arial" w:cs="Arial"/>
                <w:bCs/>
                <w:sz w:val="18"/>
                <w:szCs w:val="18"/>
                <w:lang w:val="es-ES" w:eastAsia="es-CR"/>
              </w:rPr>
              <w:t>La contratación de las empresas precalificadas es por demanda y por plazos prorrogables de hasta cuatro años, lo que permitirá ahorrar tiempo, en la ejecución de actividades.</w:t>
            </w:r>
          </w:p>
        </w:tc>
      </w:tr>
    </w:tbl>
    <w:p w:rsidR="00672FF2" w:rsidRPr="00550D4D" w:rsidRDefault="00672FF2" w:rsidP="00672FF2">
      <w:pPr>
        <w:rPr>
          <w:rFonts w:ascii="Arial" w:eastAsia="Times New Roman" w:hAnsi="Arial" w:cs="Arial"/>
          <w:bCs/>
          <w:sz w:val="18"/>
          <w:szCs w:val="18"/>
          <w:lang w:eastAsia="es-CR"/>
        </w:rPr>
      </w:pPr>
      <w:r w:rsidRPr="00550D4D">
        <w:rPr>
          <w:rFonts w:ascii="Arial" w:eastAsia="Times New Roman" w:hAnsi="Arial" w:cs="Arial"/>
          <w:bCs/>
          <w:sz w:val="18"/>
          <w:szCs w:val="18"/>
          <w:lang w:eastAsia="es-CR"/>
        </w:rPr>
        <w:t>Nota Fuente: Informe de rendimiento de cuentas de área. (2017)</w:t>
      </w:r>
    </w:p>
    <w:p w:rsidR="00672FF2" w:rsidRPr="00672FF2" w:rsidRDefault="00672FF2" w:rsidP="00672FF2">
      <w:pPr>
        <w:rPr>
          <w:rFonts w:ascii="Arial" w:eastAsia="Times New Roman" w:hAnsi="Arial" w:cs="Arial"/>
          <w:b/>
          <w:bCs/>
          <w:color w:val="000000"/>
          <w:sz w:val="20"/>
          <w:szCs w:val="20"/>
          <w:lang w:eastAsia="es-CR"/>
        </w:rPr>
      </w:pPr>
      <w:r w:rsidRPr="00672FF2">
        <w:rPr>
          <w:rFonts w:ascii="Arial" w:eastAsia="Times New Roman" w:hAnsi="Arial" w:cs="Arial"/>
          <w:b/>
          <w:bCs/>
          <w:color w:val="000000"/>
          <w:sz w:val="20"/>
          <w:szCs w:val="20"/>
          <w:lang w:eastAsia="es-CR"/>
        </w:rPr>
        <w:br w:type="page"/>
      </w:r>
    </w:p>
    <w:p w:rsidR="00600A17" w:rsidRDefault="00600A17" w:rsidP="00600A17">
      <w:pPr>
        <w:spacing w:after="0" w:line="240" w:lineRule="auto"/>
        <w:jc w:val="both"/>
        <w:rPr>
          <w:rFonts w:ascii="Arial" w:eastAsia="Times New Roman" w:hAnsi="Arial" w:cs="Arial"/>
          <w:b/>
          <w:bCs/>
          <w:sz w:val="20"/>
          <w:szCs w:val="20"/>
          <w:lang w:eastAsia="es-CR"/>
        </w:rPr>
      </w:pPr>
    </w:p>
    <w:p w:rsidR="00672FF2" w:rsidRPr="00600A17" w:rsidRDefault="00600A17" w:rsidP="00600A17">
      <w:pPr>
        <w:spacing w:after="0" w:line="240" w:lineRule="auto"/>
        <w:jc w:val="both"/>
        <w:rPr>
          <w:rFonts w:ascii="Arial" w:eastAsia="Times New Roman" w:hAnsi="Arial" w:cs="Arial"/>
          <w:b/>
          <w:bCs/>
          <w:sz w:val="20"/>
          <w:szCs w:val="20"/>
          <w:lang w:eastAsia="es-CR"/>
        </w:rPr>
      </w:pPr>
      <w:r>
        <w:rPr>
          <w:rFonts w:ascii="Arial" w:eastAsia="Times New Roman" w:hAnsi="Arial" w:cs="Arial"/>
          <w:b/>
          <w:bCs/>
          <w:sz w:val="20"/>
          <w:szCs w:val="20"/>
          <w:lang w:eastAsia="es-CR"/>
        </w:rPr>
        <w:t>I</w:t>
      </w:r>
      <w:r w:rsidR="00672FF2" w:rsidRPr="00600A17">
        <w:rPr>
          <w:rFonts w:ascii="Arial" w:eastAsia="Times New Roman" w:hAnsi="Arial" w:cs="Arial"/>
          <w:b/>
          <w:bCs/>
          <w:sz w:val="20"/>
          <w:szCs w:val="20"/>
          <w:lang w:eastAsia="es-CR"/>
        </w:rPr>
        <w:t>NFORMES DE CIERRE PARA PROYECTOS EJECUTADOS</w:t>
      </w:r>
    </w:p>
    <w:p w:rsidR="00672FF2" w:rsidRPr="00600A17" w:rsidRDefault="00672FF2" w:rsidP="00600A17">
      <w:pPr>
        <w:spacing w:after="0" w:line="240" w:lineRule="auto"/>
        <w:jc w:val="both"/>
        <w:rPr>
          <w:rFonts w:ascii="Arial" w:eastAsia="Times New Roman" w:hAnsi="Arial" w:cs="Arial"/>
          <w:b/>
          <w:bCs/>
          <w:sz w:val="20"/>
          <w:szCs w:val="20"/>
          <w:lang w:eastAsia="es-CR"/>
        </w:rPr>
      </w:pPr>
    </w:p>
    <w:p w:rsidR="00672FF2" w:rsidRPr="00600A17" w:rsidRDefault="00672FF2" w:rsidP="00600A17">
      <w:pPr>
        <w:spacing w:after="0" w:line="240" w:lineRule="auto"/>
        <w:jc w:val="both"/>
        <w:rPr>
          <w:rFonts w:ascii="Arial" w:eastAsia="Times New Roman" w:hAnsi="Arial" w:cs="Arial"/>
          <w:b/>
          <w:bCs/>
          <w:sz w:val="20"/>
          <w:szCs w:val="20"/>
          <w:lang w:eastAsia="es-CR"/>
        </w:rPr>
      </w:pPr>
      <w:r w:rsidRPr="00600A17">
        <w:rPr>
          <w:rFonts w:ascii="Arial" w:eastAsia="Times New Roman" w:hAnsi="Arial" w:cs="Arial"/>
          <w:b/>
          <w:bCs/>
          <w:sz w:val="20"/>
          <w:szCs w:val="20"/>
          <w:lang w:eastAsia="es-CR"/>
        </w:rPr>
        <w:t>Indicador N°36 Cantidad de informes elaborados para el cierre de 8 proyectos ejecutados</w:t>
      </w:r>
    </w:p>
    <w:p w:rsidR="00672FF2" w:rsidRPr="00600A17" w:rsidRDefault="00672FF2" w:rsidP="00600A17">
      <w:pPr>
        <w:spacing w:after="0" w:line="240" w:lineRule="auto"/>
        <w:jc w:val="both"/>
        <w:rPr>
          <w:rFonts w:ascii="Arial" w:eastAsia="Times New Roman" w:hAnsi="Arial" w:cs="Arial"/>
          <w:bCs/>
          <w:sz w:val="20"/>
          <w:szCs w:val="20"/>
          <w:lang w:eastAsia="es-CR"/>
        </w:rPr>
      </w:pPr>
    </w:p>
    <w:p w:rsidR="00672FF2" w:rsidRPr="00600A17" w:rsidRDefault="00672FF2" w:rsidP="00FC7F4D">
      <w:pPr>
        <w:spacing w:after="0" w:line="240" w:lineRule="auto"/>
        <w:jc w:val="both"/>
        <w:rPr>
          <w:rFonts w:ascii="Arial" w:eastAsia="Times New Roman" w:hAnsi="Arial" w:cs="Arial"/>
          <w:bCs/>
          <w:sz w:val="20"/>
          <w:szCs w:val="20"/>
          <w:lang w:eastAsia="es-CR"/>
        </w:rPr>
      </w:pPr>
      <w:r w:rsidRPr="00600A17">
        <w:rPr>
          <w:rFonts w:ascii="Arial" w:eastAsia="Times New Roman" w:hAnsi="Arial" w:cs="Arial"/>
          <w:bCs/>
          <w:sz w:val="20"/>
          <w:szCs w:val="20"/>
          <w:lang w:eastAsia="es-CR"/>
        </w:rPr>
        <w:t>A diciembre se elaboraron seis informes de cierre técnico ( 1. Los Robles, 2. Los Dragones, 3.Radial II, 4.Verolís, 5.Nueva Jerusalén y 6.Orowe) y se encuentran pendientes los proyectos Reserva de Juan Rafael Mora y La Radial I.</w:t>
      </w:r>
    </w:p>
    <w:p w:rsidR="00672FF2" w:rsidRPr="00600A17" w:rsidRDefault="00672FF2" w:rsidP="00FC7F4D">
      <w:pPr>
        <w:spacing w:after="0" w:line="240" w:lineRule="auto"/>
        <w:jc w:val="both"/>
        <w:rPr>
          <w:rFonts w:ascii="Arial" w:eastAsia="Times New Roman" w:hAnsi="Arial" w:cs="Arial"/>
          <w:bCs/>
          <w:sz w:val="20"/>
          <w:szCs w:val="20"/>
          <w:lang w:eastAsia="es-CR"/>
        </w:rPr>
      </w:pPr>
    </w:p>
    <w:p w:rsidR="00672FF2" w:rsidRPr="00600A17" w:rsidRDefault="00672FF2" w:rsidP="00FC7F4D">
      <w:pPr>
        <w:spacing w:after="0" w:line="240" w:lineRule="auto"/>
        <w:jc w:val="both"/>
        <w:rPr>
          <w:rFonts w:ascii="Arial" w:eastAsia="Times New Roman" w:hAnsi="Arial" w:cs="Arial"/>
          <w:bCs/>
          <w:sz w:val="20"/>
          <w:szCs w:val="20"/>
          <w:lang w:eastAsia="es-CR"/>
        </w:rPr>
      </w:pPr>
      <w:r w:rsidRPr="00600A17">
        <w:rPr>
          <w:rFonts w:ascii="Arial" w:eastAsia="Times New Roman" w:hAnsi="Arial" w:cs="Arial"/>
          <w:bCs/>
          <w:sz w:val="20"/>
          <w:szCs w:val="20"/>
          <w:lang w:eastAsia="es-CR"/>
        </w:rPr>
        <w:t xml:space="preserve">El estudio consiste en hacer una liquidación de los recursos girados, que permita conocer la ejecución de los mismos así como el pago a los involucrados. </w:t>
      </w:r>
    </w:p>
    <w:tbl>
      <w:tblPr>
        <w:tblW w:w="9103" w:type="dxa"/>
        <w:tblBorders>
          <w:insideH w:val="single" w:sz="6" w:space="0" w:color="000000"/>
          <w:insideV w:val="single" w:sz="6" w:space="0" w:color="000000"/>
        </w:tblBorders>
        <w:tblLook w:val="04A0" w:firstRow="1" w:lastRow="0" w:firstColumn="1" w:lastColumn="0" w:noHBand="0" w:noVBand="1"/>
      </w:tblPr>
      <w:tblGrid>
        <w:gridCol w:w="4293"/>
        <w:gridCol w:w="4810"/>
      </w:tblGrid>
      <w:tr w:rsidR="00672FF2" w:rsidRPr="00672FF2" w:rsidTr="002D5BDD">
        <w:trPr>
          <w:trHeight w:val="270"/>
        </w:trPr>
        <w:tc>
          <w:tcPr>
            <w:tcW w:w="5000" w:type="pct"/>
            <w:gridSpan w:val="2"/>
            <w:shd w:val="clear" w:color="auto" w:fill="auto"/>
            <w:noWrap/>
            <w:hideMark/>
          </w:tcPr>
          <w:p w:rsidR="00600A17" w:rsidRDefault="00600A17" w:rsidP="00FC7F4D">
            <w:pPr>
              <w:spacing w:line="240" w:lineRule="auto"/>
              <w:rPr>
                <w:rFonts w:ascii="Arial" w:eastAsia="Times New Roman" w:hAnsi="Arial" w:cs="Arial"/>
                <w:b/>
                <w:bCs/>
                <w:color w:val="000000"/>
                <w:sz w:val="20"/>
                <w:szCs w:val="20"/>
                <w:lang w:eastAsia="es-CR"/>
              </w:rPr>
            </w:pPr>
          </w:p>
          <w:p w:rsidR="00672FF2" w:rsidRPr="00672FF2" w:rsidRDefault="00672FF2" w:rsidP="00FC7F4D">
            <w:pPr>
              <w:spacing w:line="240" w:lineRule="auto"/>
              <w:jc w:val="center"/>
              <w:rPr>
                <w:rFonts w:ascii="Arial" w:eastAsia="Times New Roman" w:hAnsi="Arial" w:cs="Arial"/>
                <w:b/>
                <w:bCs/>
                <w:color w:val="000000"/>
                <w:sz w:val="20"/>
                <w:szCs w:val="20"/>
                <w:lang w:eastAsia="es-CR"/>
              </w:rPr>
            </w:pPr>
            <w:r w:rsidRPr="00672FF2">
              <w:rPr>
                <w:rFonts w:ascii="Arial" w:eastAsia="Times New Roman" w:hAnsi="Arial" w:cs="Arial"/>
                <w:b/>
                <w:bCs/>
                <w:color w:val="000000"/>
                <w:sz w:val="20"/>
                <w:szCs w:val="20"/>
                <w:lang w:eastAsia="es-CR"/>
              </w:rPr>
              <w:t>Tabla 31 Acciones Realizadas</w:t>
            </w:r>
          </w:p>
        </w:tc>
      </w:tr>
      <w:tr w:rsidR="00672FF2" w:rsidRPr="00672FF2" w:rsidTr="002D5BDD">
        <w:trPr>
          <w:trHeight w:val="825"/>
        </w:trPr>
        <w:tc>
          <w:tcPr>
            <w:tcW w:w="2358" w:type="pct"/>
            <w:shd w:val="clear" w:color="auto" w:fill="auto"/>
            <w:hideMark/>
          </w:tcPr>
          <w:p w:rsidR="00672FF2" w:rsidRPr="00672FF2" w:rsidRDefault="00672FF2" w:rsidP="00FC7F4D">
            <w:pPr>
              <w:spacing w:line="240" w:lineRule="auto"/>
              <w:rPr>
                <w:rFonts w:ascii="Arial" w:eastAsia="Times New Roman" w:hAnsi="Arial" w:cs="Arial"/>
                <w:b/>
                <w:bCs/>
                <w:color w:val="000000"/>
                <w:sz w:val="20"/>
                <w:szCs w:val="20"/>
                <w:lang w:eastAsia="es-CR"/>
              </w:rPr>
            </w:pPr>
            <w:r w:rsidRPr="00672FF2">
              <w:rPr>
                <w:rFonts w:ascii="Arial" w:eastAsia="Times New Roman" w:hAnsi="Arial" w:cs="Arial"/>
                <w:b/>
                <w:bCs/>
                <w:color w:val="000000"/>
                <w:sz w:val="20"/>
                <w:szCs w:val="20"/>
                <w:lang w:eastAsia="es-CR"/>
              </w:rPr>
              <w:t>a) Actividades realizadas:</w:t>
            </w:r>
          </w:p>
        </w:tc>
        <w:tc>
          <w:tcPr>
            <w:tcW w:w="2642" w:type="pct"/>
            <w:shd w:val="clear" w:color="auto" w:fill="auto"/>
          </w:tcPr>
          <w:p w:rsidR="00672FF2" w:rsidRPr="00600A17" w:rsidRDefault="00672FF2" w:rsidP="00FC7F4D">
            <w:pPr>
              <w:spacing w:after="0" w:line="240" w:lineRule="auto"/>
              <w:jc w:val="both"/>
              <w:rPr>
                <w:rFonts w:ascii="Arial" w:hAnsi="Arial" w:cs="Arial"/>
                <w:sz w:val="20"/>
                <w:szCs w:val="20"/>
              </w:rPr>
            </w:pPr>
            <w:r w:rsidRPr="00600A17">
              <w:rPr>
                <w:rFonts w:ascii="Arial" w:hAnsi="Arial" w:cs="Arial"/>
                <w:sz w:val="20"/>
                <w:szCs w:val="20"/>
              </w:rPr>
              <w:t>El procedimiento a seguir para el cierre es el siguiente:</w:t>
            </w:r>
          </w:p>
          <w:p w:rsidR="00672FF2" w:rsidRPr="00600A17" w:rsidRDefault="00672FF2" w:rsidP="00FC7F4D">
            <w:pPr>
              <w:spacing w:after="0" w:line="240" w:lineRule="auto"/>
              <w:jc w:val="both"/>
              <w:rPr>
                <w:rFonts w:ascii="Arial" w:hAnsi="Arial" w:cs="Arial"/>
                <w:sz w:val="20"/>
                <w:szCs w:val="20"/>
              </w:rPr>
            </w:pPr>
          </w:p>
          <w:p w:rsidR="00672FF2" w:rsidRPr="00600A17" w:rsidRDefault="00672FF2" w:rsidP="00FC7F4D">
            <w:pPr>
              <w:spacing w:after="0" w:line="240" w:lineRule="auto"/>
              <w:jc w:val="both"/>
              <w:rPr>
                <w:rFonts w:ascii="Arial" w:hAnsi="Arial" w:cs="Arial"/>
                <w:sz w:val="20"/>
                <w:szCs w:val="20"/>
              </w:rPr>
            </w:pPr>
            <w:r w:rsidRPr="00600A17">
              <w:rPr>
                <w:rFonts w:ascii="Arial" w:hAnsi="Arial" w:cs="Arial"/>
                <w:sz w:val="20"/>
                <w:szCs w:val="20"/>
              </w:rPr>
              <w:t>- Recopilación de información.</w:t>
            </w:r>
          </w:p>
          <w:p w:rsidR="00672FF2" w:rsidRPr="00600A17" w:rsidRDefault="00672FF2" w:rsidP="00FC7F4D">
            <w:pPr>
              <w:spacing w:after="0" w:line="240" w:lineRule="auto"/>
              <w:jc w:val="both"/>
              <w:rPr>
                <w:rFonts w:ascii="Arial" w:hAnsi="Arial" w:cs="Arial"/>
                <w:sz w:val="20"/>
                <w:szCs w:val="20"/>
              </w:rPr>
            </w:pPr>
            <w:r w:rsidRPr="00600A17">
              <w:rPr>
                <w:rFonts w:ascii="Arial" w:hAnsi="Arial" w:cs="Arial"/>
                <w:sz w:val="20"/>
                <w:szCs w:val="20"/>
              </w:rPr>
              <w:t>- Verificación de la información en Contabilidad y Tesorería.</w:t>
            </w:r>
          </w:p>
          <w:p w:rsidR="00672FF2" w:rsidRPr="00600A17" w:rsidRDefault="00672FF2" w:rsidP="00FC7F4D">
            <w:pPr>
              <w:spacing w:after="0" w:line="240" w:lineRule="auto"/>
              <w:jc w:val="both"/>
              <w:rPr>
                <w:rFonts w:ascii="Arial" w:hAnsi="Arial" w:cs="Arial"/>
                <w:sz w:val="20"/>
                <w:szCs w:val="20"/>
              </w:rPr>
            </w:pPr>
            <w:r w:rsidRPr="00600A17">
              <w:rPr>
                <w:rFonts w:ascii="Arial" w:hAnsi="Arial" w:cs="Arial"/>
                <w:sz w:val="20"/>
                <w:szCs w:val="20"/>
              </w:rPr>
              <w:t>- Elaboración del informe por parte del Profesional.</w:t>
            </w:r>
          </w:p>
          <w:p w:rsidR="00672FF2" w:rsidRPr="00600A17" w:rsidRDefault="00672FF2" w:rsidP="00FC7F4D">
            <w:pPr>
              <w:spacing w:after="0" w:line="240" w:lineRule="auto"/>
              <w:jc w:val="both"/>
              <w:rPr>
                <w:rFonts w:ascii="Arial" w:hAnsi="Arial" w:cs="Arial"/>
                <w:sz w:val="20"/>
                <w:szCs w:val="20"/>
              </w:rPr>
            </w:pPr>
            <w:r w:rsidRPr="00600A17">
              <w:rPr>
                <w:rFonts w:ascii="Arial" w:hAnsi="Arial" w:cs="Arial"/>
                <w:sz w:val="20"/>
                <w:szCs w:val="20"/>
              </w:rPr>
              <w:t>- Revisión del informe por parte del Coordinador de la Unidad.</w:t>
            </w:r>
          </w:p>
          <w:p w:rsidR="00672FF2" w:rsidRPr="00600A17" w:rsidRDefault="00672FF2" w:rsidP="00FC7F4D">
            <w:pPr>
              <w:spacing w:after="0" w:line="240" w:lineRule="auto"/>
              <w:jc w:val="both"/>
              <w:rPr>
                <w:rFonts w:ascii="Arial" w:hAnsi="Arial" w:cs="Arial"/>
                <w:sz w:val="20"/>
                <w:szCs w:val="20"/>
              </w:rPr>
            </w:pPr>
            <w:r w:rsidRPr="00600A17">
              <w:rPr>
                <w:rFonts w:ascii="Arial" w:hAnsi="Arial" w:cs="Arial"/>
                <w:sz w:val="20"/>
                <w:szCs w:val="20"/>
              </w:rPr>
              <w:t>- Remisión de los informes técnicos al BANHVI, para finalizar el proceso.</w:t>
            </w:r>
          </w:p>
          <w:p w:rsidR="00672FF2" w:rsidRPr="00600A17" w:rsidRDefault="00672FF2" w:rsidP="00FC7F4D">
            <w:pPr>
              <w:spacing w:after="0" w:line="240" w:lineRule="auto"/>
              <w:jc w:val="both"/>
              <w:rPr>
                <w:rFonts w:ascii="Arial" w:hAnsi="Arial" w:cs="Arial"/>
                <w:sz w:val="20"/>
                <w:szCs w:val="20"/>
              </w:rPr>
            </w:pPr>
          </w:p>
        </w:tc>
      </w:tr>
      <w:tr w:rsidR="00672FF2" w:rsidRPr="00672FF2" w:rsidTr="002D5BDD">
        <w:trPr>
          <w:trHeight w:val="705"/>
        </w:trPr>
        <w:tc>
          <w:tcPr>
            <w:tcW w:w="2358" w:type="pct"/>
            <w:shd w:val="clear" w:color="auto" w:fill="auto"/>
            <w:hideMark/>
          </w:tcPr>
          <w:p w:rsidR="00672FF2" w:rsidRPr="00672FF2" w:rsidRDefault="00672FF2" w:rsidP="00FC7F4D">
            <w:pPr>
              <w:spacing w:line="240" w:lineRule="auto"/>
              <w:rPr>
                <w:rFonts w:ascii="Arial" w:eastAsia="Times New Roman" w:hAnsi="Arial" w:cs="Arial"/>
                <w:b/>
                <w:bCs/>
                <w:color w:val="000000"/>
                <w:sz w:val="20"/>
                <w:szCs w:val="20"/>
                <w:lang w:eastAsia="es-CR"/>
              </w:rPr>
            </w:pPr>
            <w:r w:rsidRPr="00672FF2">
              <w:rPr>
                <w:rFonts w:ascii="Arial" w:eastAsia="Times New Roman" w:hAnsi="Arial" w:cs="Arial"/>
                <w:b/>
                <w:bCs/>
                <w:color w:val="000000"/>
                <w:sz w:val="20"/>
                <w:szCs w:val="20"/>
                <w:lang w:eastAsia="es-CR"/>
              </w:rPr>
              <w:t xml:space="preserve">b) Limitaciones: </w:t>
            </w:r>
          </w:p>
          <w:p w:rsidR="00672FF2" w:rsidRPr="00672FF2" w:rsidRDefault="00672FF2" w:rsidP="00FC7F4D">
            <w:pPr>
              <w:spacing w:line="240" w:lineRule="auto"/>
              <w:rPr>
                <w:rFonts w:ascii="Arial" w:eastAsia="Times New Roman" w:hAnsi="Arial" w:cs="Arial"/>
                <w:b/>
                <w:bCs/>
                <w:color w:val="000000"/>
                <w:sz w:val="20"/>
                <w:szCs w:val="20"/>
                <w:lang w:eastAsia="es-CR"/>
              </w:rPr>
            </w:pPr>
          </w:p>
          <w:p w:rsidR="00672FF2" w:rsidRPr="00672FF2" w:rsidRDefault="00672FF2" w:rsidP="00FC7F4D">
            <w:pPr>
              <w:spacing w:line="240" w:lineRule="auto"/>
              <w:rPr>
                <w:rFonts w:ascii="Arial" w:eastAsia="Times New Roman" w:hAnsi="Arial" w:cs="Arial"/>
                <w:b/>
                <w:bCs/>
                <w:color w:val="000000"/>
                <w:sz w:val="20"/>
                <w:szCs w:val="20"/>
                <w:lang w:eastAsia="es-CR"/>
              </w:rPr>
            </w:pPr>
          </w:p>
        </w:tc>
        <w:tc>
          <w:tcPr>
            <w:tcW w:w="2642" w:type="pct"/>
            <w:shd w:val="clear" w:color="auto" w:fill="auto"/>
          </w:tcPr>
          <w:p w:rsidR="00672FF2" w:rsidRPr="00600A17" w:rsidRDefault="00672FF2" w:rsidP="00FC7F4D">
            <w:pPr>
              <w:spacing w:after="0" w:line="240" w:lineRule="auto"/>
              <w:jc w:val="both"/>
              <w:rPr>
                <w:rFonts w:ascii="Arial" w:hAnsi="Arial" w:cs="Arial"/>
                <w:sz w:val="20"/>
                <w:szCs w:val="20"/>
              </w:rPr>
            </w:pPr>
            <w:r w:rsidRPr="00600A17">
              <w:rPr>
                <w:rFonts w:ascii="Arial" w:hAnsi="Arial" w:cs="Arial"/>
                <w:sz w:val="20"/>
                <w:szCs w:val="20"/>
              </w:rPr>
              <w:t>- Información disponible en sistemas no integrados.</w:t>
            </w:r>
          </w:p>
          <w:p w:rsidR="00672FF2" w:rsidRPr="00600A17" w:rsidRDefault="00672FF2" w:rsidP="00FC7F4D">
            <w:pPr>
              <w:spacing w:after="0" w:line="240" w:lineRule="auto"/>
              <w:jc w:val="both"/>
              <w:rPr>
                <w:rFonts w:ascii="Arial" w:hAnsi="Arial" w:cs="Arial"/>
                <w:sz w:val="20"/>
                <w:szCs w:val="20"/>
              </w:rPr>
            </w:pPr>
            <w:r w:rsidRPr="00600A17">
              <w:rPr>
                <w:rFonts w:ascii="Arial" w:hAnsi="Arial" w:cs="Arial"/>
                <w:sz w:val="20"/>
                <w:szCs w:val="20"/>
              </w:rPr>
              <w:t>- Falta de documentación (fotografías, informes técnicos, entre otros) disponible.</w:t>
            </w:r>
          </w:p>
          <w:p w:rsidR="00672FF2" w:rsidRPr="00600A17" w:rsidRDefault="00672FF2" w:rsidP="00FC7F4D">
            <w:pPr>
              <w:spacing w:after="0" w:line="240" w:lineRule="auto"/>
              <w:jc w:val="both"/>
              <w:rPr>
                <w:rFonts w:ascii="Arial" w:hAnsi="Arial" w:cs="Arial"/>
                <w:sz w:val="20"/>
                <w:szCs w:val="20"/>
              </w:rPr>
            </w:pPr>
          </w:p>
        </w:tc>
      </w:tr>
      <w:tr w:rsidR="00672FF2" w:rsidRPr="00672FF2" w:rsidTr="002D5BDD">
        <w:trPr>
          <w:trHeight w:val="471"/>
        </w:trPr>
        <w:tc>
          <w:tcPr>
            <w:tcW w:w="2358" w:type="pct"/>
            <w:shd w:val="clear" w:color="auto" w:fill="auto"/>
            <w:hideMark/>
          </w:tcPr>
          <w:p w:rsidR="00672FF2" w:rsidRPr="00672FF2" w:rsidRDefault="00672FF2" w:rsidP="00FC7F4D">
            <w:pPr>
              <w:spacing w:line="240" w:lineRule="auto"/>
              <w:rPr>
                <w:rFonts w:ascii="Arial" w:eastAsia="Times New Roman" w:hAnsi="Arial" w:cs="Arial"/>
                <w:b/>
                <w:bCs/>
                <w:color w:val="000000"/>
                <w:sz w:val="20"/>
                <w:szCs w:val="20"/>
                <w:lang w:eastAsia="es-CR"/>
              </w:rPr>
            </w:pPr>
            <w:r w:rsidRPr="00672FF2">
              <w:rPr>
                <w:rFonts w:ascii="Arial" w:eastAsia="Times New Roman" w:hAnsi="Arial" w:cs="Arial"/>
                <w:b/>
                <w:bCs/>
                <w:color w:val="000000"/>
                <w:sz w:val="20"/>
                <w:szCs w:val="20"/>
                <w:lang w:eastAsia="es-CR"/>
              </w:rPr>
              <w:t>c) Medidas correctivas o acciones de mejora (realizadas y por realizar) para el logro de la meta:</w:t>
            </w:r>
          </w:p>
        </w:tc>
        <w:tc>
          <w:tcPr>
            <w:tcW w:w="2642" w:type="pct"/>
            <w:shd w:val="clear" w:color="auto" w:fill="auto"/>
          </w:tcPr>
          <w:p w:rsidR="00672FF2" w:rsidRPr="00600A17" w:rsidRDefault="00672FF2" w:rsidP="00FC7F4D">
            <w:pPr>
              <w:spacing w:after="0" w:line="240" w:lineRule="auto"/>
              <w:jc w:val="both"/>
              <w:rPr>
                <w:rFonts w:ascii="Arial" w:hAnsi="Arial" w:cs="Arial"/>
                <w:sz w:val="20"/>
                <w:szCs w:val="20"/>
              </w:rPr>
            </w:pPr>
            <w:r w:rsidRPr="00600A17">
              <w:rPr>
                <w:rFonts w:ascii="Arial" w:hAnsi="Arial" w:cs="Arial"/>
                <w:sz w:val="20"/>
                <w:szCs w:val="20"/>
              </w:rPr>
              <w:t>Realizar el cierre de los proyectos inmediatamente después la ejecución de los mismos.</w:t>
            </w:r>
          </w:p>
          <w:p w:rsidR="00672FF2" w:rsidRPr="00600A17" w:rsidRDefault="00672FF2" w:rsidP="00FC7F4D">
            <w:pPr>
              <w:spacing w:after="0" w:line="240" w:lineRule="auto"/>
              <w:jc w:val="both"/>
              <w:rPr>
                <w:rFonts w:ascii="Arial" w:hAnsi="Arial" w:cs="Arial"/>
                <w:sz w:val="20"/>
                <w:szCs w:val="20"/>
              </w:rPr>
            </w:pPr>
          </w:p>
        </w:tc>
      </w:tr>
      <w:tr w:rsidR="00672FF2" w:rsidRPr="00600A17" w:rsidTr="002D5BDD">
        <w:trPr>
          <w:trHeight w:val="850"/>
        </w:trPr>
        <w:tc>
          <w:tcPr>
            <w:tcW w:w="2358" w:type="pct"/>
            <w:shd w:val="clear" w:color="auto" w:fill="auto"/>
          </w:tcPr>
          <w:p w:rsidR="00672FF2" w:rsidRPr="00672FF2" w:rsidRDefault="00672FF2" w:rsidP="00FC7F4D">
            <w:pPr>
              <w:spacing w:line="240" w:lineRule="auto"/>
              <w:rPr>
                <w:rFonts w:ascii="Arial" w:eastAsia="Times New Roman" w:hAnsi="Arial" w:cs="Arial"/>
                <w:b/>
                <w:bCs/>
                <w:color w:val="000000"/>
                <w:sz w:val="20"/>
                <w:szCs w:val="20"/>
                <w:lang w:eastAsia="es-CR"/>
              </w:rPr>
            </w:pPr>
            <w:r w:rsidRPr="00672FF2">
              <w:rPr>
                <w:rFonts w:ascii="Arial" w:eastAsia="Times New Roman" w:hAnsi="Arial" w:cs="Arial"/>
                <w:b/>
                <w:bCs/>
                <w:color w:val="000000"/>
                <w:sz w:val="20"/>
                <w:szCs w:val="20"/>
                <w:lang w:eastAsia="es-CR"/>
              </w:rPr>
              <w:t>Observaciones:</w:t>
            </w:r>
          </w:p>
        </w:tc>
        <w:tc>
          <w:tcPr>
            <w:tcW w:w="2642" w:type="pct"/>
            <w:shd w:val="clear" w:color="auto" w:fill="auto"/>
          </w:tcPr>
          <w:p w:rsidR="00672FF2" w:rsidRPr="00600A17" w:rsidRDefault="00672FF2" w:rsidP="00FC7F4D">
            <w:pPr>
              <w:spacing w:after="0" w:line="240" w:lineRule="auto"/>
              <w:jc w:val="both"/>
              <w:rPr>
                <w:rFonts w:ascii="Arial" w:eastAsia="Times New Roman" w:hAnsi="Arial" w:cs="Arial"/>
                <w:bCs/>
                <w:sz w:val="20"/>
                <w:szCs w:val="20"/>
                <w:lang w:eastAsia="es-CR"/>
              </w:rPr>
            </w:pPr>
            <w:r w:rsidRPr="00600A17">
              <w:rPr>
                <w:rFonts w:ascii="Arial" w:eastAsia="Times New Roman" w:hAnsi="Arial" w:cs="Arial"/>
                <w:bCs/>
                <w:sz w:val="20"/>
                <w:szCs w:val="20"/>
                <w:lang w:eastAsia="es-CR"/>
              </w:rPr>
              <w:t>Los proyectos Reserva de Juan Rafael Mora y Radial I actualmente están en el proceso de recopilación y verificación de la información, para posteriormente confeccionar el informe.</w:t>
            </w:r>
          </w:p>
          <w:p w:rsidR="00672FF2" w:rsidRPr="00600A17" w:rsidRDefault="00672FF2" w:rsidP="00FC7F4D">
            <w:pPr>
              <w:spacing w:line="240" w:lineRule="auto"/>
              <w:rPr>
                <w:rFonts w:ascii="Arial" w:eastAsia="Times New Roman" w:hAnsi="Arial" w:cs="Arial"/>
                <w:bCs/>
                <w:sz w:val="20"/>
                <w:szCs w:val="20"/>
                <w:lang w:eastAsia="es-CR"/>
              </w:rPr>
            </w:pPr>
          </w:p>
        </w:tc>
      </w:tr>
    </w:tbl>
    <w:p w:rsidR="00672FF2" w:rsidRPr="00600A17" w:rsidRDefault="00672FF2" w:rsidP="00FC7F4D">
      <w:pPr>
        <w:spacing w:line="240" w:lineRule="auto"/>
        <w:rPr>
          <w:rFonts w:ascii="Arial" w:eastAsia="Times New Roman" w:hAnsi="Arial" w:cs="Arial"/>
          <w:bCs/>
          <w:color w:val="000000"/>
          <w:sz w:val="18"/>
          <w:szCs w:val="18"/>
          <w:lang w:eastAsia="es-CR"/>
        </w:rPr>
      </w:pPr>
      <w:r w:rsidRPr="00600A17">
        <w:rPr>
          <w:rFonts w:ascii="Arial" w:eastAsia="Times New Roman" w:hAnsi="Arial" w:cs="Arial"/>
          <w:bCs/>
          <w:color w:val="000000"/>
          <w:sz w:val="18"/>
          <w:szCs w:val="18"/>
          <w:lang w:eastAsia="es-CR"/>
        </w:rPr>
        <w:t>Nota Fuente: Informe de rendimiento de cuentas de área. (2017)</w:t>
      </w:r>
    </w:p>
    <w:p w:rsidR="00672FF2" w:rsidRPr="00672FF2" w:rsidRDefault="00672FF2" w:rsidP="00FC7F4D">
      <w:pPr>
        <w:spacing w:line="240" w:lineRule="auto"/>
        <w:rPr>
          <w:rFonts w:ascii="Arial" w:eastAsia="Times New Roman" w:hAnsi="Arial" w:cs="Arial"/>
          <w:b/>
          <w:bCs/>
          <w:color w:val="000000"/>
          <w:sz w:val="20"/>
          <w:szCs w:val="20"/>
          <w:lang w:eastAsia="es-CR"/>
        </w:rPr>
      </w:pPr>
      <w:r w:rsidRPr="00672FF2">
        <w:rPr>
          <w:rFonts w:ascii="Arial" w:eastAsia="Times New Roman" w:hAnsi="Arial" w:cs="Arial"/>
          <w:b/>
          <w:bCs/>
          <w:color w:val="000000"/>
          <w:sz w:val="20"/>
          <w:szCs w:val="20"/>
          <w:lang w:eastAsia="es-CR"/>
        </w:rPr>
        <w:br w:type="page"/>
      </w:r>
    </w:p>
    <w:p w:rsidR="00600A17" w:rsidRDefault="00600A17" w:rsidP="00600A17">
      <w:pPr>
        <w:spacing w:after="0" w:line="240" w:lineRule="auto"/>
        <w:rPr>
          <w:rFonts w:ascii="Arial" w:eastAsia="Times New Roman" w:hAnsi="Arial" w:cs="Arial"/>
          <w:b/>
          <w:bCs/>
          <w:sz w:val="20"/>
          <w:szCs w:val="20"/>
          <w:lang w:eastAsia="es-CR"/>
        </w:rPr>
      </w:pPr>
    </w:p>
    <w:p w:rsidR="00672FF2" w:rsidRPr="00600A17" w:rsidRDefault="00672FF2" w:rsidP="00600A17">
      <w:pPr>
        <w:spacing w:after="0" w:line="240" w:lineRule="auto"/>
        <w:rPr>
          <w:rFonts w:ascii="Arial" w:eastAsia="Times New Roman" w:hAnsi="Arial" w:cs="Arial"/>
          <w:b/>
          <w:bCs/>
          <w:sz w:val="20"/>
          <w:szCs w:val="20"/>
          <w:lang w:eastAsia="es-CR"/>
        </w:rPr>
      </w:pPr>
      <w:r w:rsidRPr="00600A17">
        <w:rPr>
          <w:rFonts w:ascii="Arial" w:eastAsia="Times New Roman" w:hAnsi="Arial" w:cs="Arial"/>
          <w:b/>
          <w:bCs/>
          <w:sz w:val="20"/>
          <w:szCs w:val="20"/>
          <w:lang w:eastAsia="es-CR"/>
        </w:rPr>
        <w:t xml:space="preserve">PROGRAMA CONSOLIDACIÓN DEL PATRIMONIO HABITACIONAL </w:t>
      </w:r>
    </w:p>
    <w:p w:rsidR="00672FF2" w:rsidRPr="00600A17" w:rsidRDefault="00672FF2" w:rsidP="00600A17">
      <w:pPr>
        <w:spacing w:after="0" w:line="240" w:lineRule="auto"/>
        <w:rPr>
          <w:rFonts w:ascii="Arial" w:eastAsia="Times New Roman" w:hAnsi="Arial" w:cs="Arial"/>
          <w:b/>
          <w:bCs/>
          <w:sz w:val="20"/>
          <w:szCs w:val="20"/>
          <w:lang w:eastAsia="es-CR"/>
        </w:rPr>
      </w:pPr>
      <w:r w:rsidRPr="00600A17">
        <w:rPr>
          <w:rFonts w:ascii="Arial" w:eastAsia="Times New Roman" w:hAnsi="Arial" w:cs="Arial"/>
          <w:b/>
          <w:bCs/>
          <w:sz w:val="20"/>
          <w:szCs w:val="20"/>
          <w:lang w:eastAsia="es-CR"/>
        </w:rPr>
        <w:t>(Convenio DAL-CV-103-2014)</w:t>
      </w:r>
    </w:p>
    <w:p w:rsidR="00672FF2" w:rsidRPr="00600A17" w:rsidRDefault="00672FF2" w:rsidP="00600A17">
      <w:pPr>
        <w:spacing w:after="0" w:line="240" w:lineRule="auto"/>
        <w:rPr>
          <w:rFonts w:ascii="Arial" w:eastAsia="Times New Roman" w:hAnsi="Arial" w:cs="Arial"/>
          <w:b/>
          <w:bCs/>
          <w:sz w:val="20"/>
          <w:szCs w:val="20"/>
          <w:lang w:eastAsia="es-CR"/>
        </w:rPr>
      </w:pPr>
    </w:p>
    <w:p w:rsidR="00672FF2" w:rsidRPr="00600A17" w:rsidRDefault="00672FF2" w:rsidP="00600A17">
      <w:pPr>
        <w:spacing w:after="0" w:line="240" w:lineRule="auto"/>
        <w:rPr>
          <w:rFonts w:ascii="Arial" w:eastAsia="Times New Roman" w:hAnsi="Arial" w:cs="Arial"/>
          <w:b/>
          <w:bCs/>
          <w:sz w:val="20"/>
          <w:szCs w:val="20"/>
          <w:lang w:eastAsia="es-CR"/>
        </w:rPr>
      </w:pPr>
      <w:r w:rsidRPr="00600A17">
        <w:rPr>
          <w:rFonts w:ascii="Arial" w:eastAsia="Times New Roman" w:hAnsi="Arial" w:cs="Arial"/>
          <w:b/>
          <w:bCs/>
          <w:sz w:val="20"/>
          <w:szCs w:val="20"/>
          <w:lang w:eastAsia="es-CR"/>
        </w:rPr>
        <w:t>Indicador N°37 Porcentaje de avance en la etapa de ejecución, del Programa Consolidación del Patrimonio Habitacional</w:t>
      </w:r>
    </w:p>
    <w:p w:rsidR="00672FF2" w:rsidRPr="00600A17" w:rsidRDefault="00672FF2" w:rsidP="00600A17">
      <w:pPr>
        <w:spacing w:after="0" w:line="240" w:lineRule="auto"/>
        <w:rPr>
          <w:rFonts w:ascii="Arial" w:eastAsia="Times New Roman" w:hAnsi="Arial" w:cs="Arial"/>
          <w:b/>
          <w:bCs/>
          <w:sz w:val="20"/>
          <w:szCs w:val="20"/>
          <w:lang w:eastAsia="es-CR"/>
        </w:rPr>
      </w:pPr>
    </w:p>
    <w:p w:rsidR="00672FF2" w:rsidRPr="00600A17" w:rsidRDefault="00672FF2" w:rsidP="00600A17">
      <w:pPr>
        <w:spacing w:after="0" w:line="240" w:lineRule="auto"/>
        <w:jc w:val="both"/>
        <w:rPr>
          <w:rFonts w:ascii="Arial" w:eastAsia="Times New Roman" w:hAnsi="Arial" w:cs="Arial"/>
          <w:bCs/>
          <w:sz w:val="20"/>
          <w:szCs w:val="20"/>
          <w:lang w:eastAsia="es-CR"/>
        </w:rPr>
      </w:pPr>
      <w:r w:rsidRPr="00600A17">
        <w:rPr>
          <w:rFonts w:ascii="Arial" w:eastAsia="Times New Roman" w:hAnsi="Arial" w:cs="Arial"/>
          <w:bCs/>
          <w:sz w:val="20"/>
          <w:szCs w:val="20"/>
          <w:lang w:eastAsia="es-CR"/>
        </w:rPr>
        <w:t>En el último trimestre del año 2017 se aprobaron seis casos del Programa de Consolidación del Patrimonio, por un monto de ¢80.5 millones, dicha inversión incluye terreno y construcción o remodelación de las viviendas.</w:t>
      </w:r>
    </w:p>
    <w:p w:rsidR="00672FF2" w:rsidRPr="00600A17" w:rsidRDefault="00672FF2" w:rsidP="00600A17">
      <w:pPr>
        <w:spacing w:after="0" w:line="240" w:lineRule="auto"/>
        <w:jc w:val="both"/>
        <w:rPr>
          <w:rFonts w:ascii="Arial" w:eastAsia="Times New Roman" w:hAnsi="Arial" w:cs="Arial"/>
          <w:bCs/>
          <w:sz w:val="20"/>
          <w:szCs w:val="20"/>
          <w:lang w:eastAsia="es-CR"/>
        </w:rPr>
      </w:pPr>
    </w:p>
    <w:p w:rsidR="00672FF2" w:rsidRPr="00600A17" w:rsidRDefault="00672FF2" w:rsidP="00600A17">
      <w:pPr>
        <w:spacing w:after="0" w:line="240" w:lineRule="auto"/>
        <w:jc w:val="both"/>
        <w:rPr>
          <w:rFonts w:ascii="Arial" w:eastAsia="Times New Roman" w:hAnsi="Arial" w:cs="Arial"/>
          <w:bCs/>
          <w:sz w:val="20"/>
          <w:szCs w:val="20"/>
          <w:lang w:eastAsia="es-CR"/>
        </w:rPr>
      </w:pPr>
      <w:r w:rsidRPr="00600A17">
        <w:rPr>
          <w:rFonts w:ascii="Arial" w:eastAsia="Times New Roman" w:hAnsi="Arial" w:cs="Arial"/>
          <w:bCs/>
          <w:sz w:val="20"/>
          <w:szCs w:val="20"/>
          <w:lang w:eastAsia="es-CR"/>
        </w:rPr>
        <w:t>Las zonas que fueron atendidas mediante los fondos de este Programa son la Comunidad de Hojancha, Palmira y Cañas, ubicadas en la provincia de Guanacaste.</w:t>
      </w:r>
    </w:p>
    <w:p w:rsidR="00672FF2" w:rsidRPr="00600A17" w:rsidRDefault="00672FF2" w:rsidP="00600A17">
      <w:pPr>
        <w:spacing w:after="0" w:line="240" w:lineRule="auto"/>
        <w:jc w:val="both"/>
        <w:rPr>
          <w:rFonts w:ascii="Arial" w:eastAsia="Times New Roman" w:hAnsi="Arial" w:cs="Arial"/>
          <w:bCs/>
          <w:sz w:val="20"/>
          <w:szCs w:val="20"/>
          <w:lang w:eastAsia="es-CR"/>
        </w:rPr>
      </w:pPr>
    </w:p>
    <w:p w:rsidR="00672FF2" w:rsidRPr="00600A17" w:rsidRDefault="00672FF2" w:rsidP="00600A17">
      <w:pPr>
        <w:spacing w:after="0" w:line="240" w:lineRule="auto"/>
        <w:jc w:val="both"/>
        <w:rPr>
          <w:rFonts w:ascii="Arial" w:eastAsia="Times New Roman" w:hAnsi="Arial" w:cs="Arial"/>
          <w:bCs/>
          <w:sz w:val="20"/>
          <w:szCs w:val="20"/>
          <w:lang w:eastAsia="es-CR"/>
        </w:rPr>
      </w:pPr>
      <w:r w:rsidRPr="00600A17">
        <w:rPr>
          <w:rFonts w:ascii="Arial" w:eastAsia="Times New Roman" w:hAnsi="Arial" w:cs="Arial"/>
          <w:bCs/>
          <w:sz w:val="20"/>
          <w:szCs w:val="20"/>
          <w:lang w:eastAsia="es-CR"/>
        </w:rPr>
        <w:t xml:space="preserve">Este programa permite al INVU obtener ingresos por medio de la venta de terrenos. </w:t>
      </w:r>
    </w:p>
    <w:p w:rsidR="00672FF2" w:rsidRPr="00672FF2" w:rsidRDefault="00672FF2" w:rsidP="00672FF2">
      <w:pPr>
        <w:rPr>
          <w:rFonts w:ascii="Arial" w:eastAsia="Times New Roman" w:hAnsi="Arial" w:cs="Arial"/>
          <w:b/>
          <w:bCs/>
          <w:color w:val="000000"/>
          <w:sz w:val="20"/>
          <w:szCs w:val="20"/>
          <w:lang w:eastAsia="es-CR"/>
        </w:rPr>
      </w:pPr>
    </w:p>
    <w:p w:rsidR="00672FF2" w:rsidRPr="00672FF2" w:rsidRDefault="00672FF2" w:rsidP="00672FF2">
      <w:pPr>
        <w:rPr>
          <w:rFonts w:ascii="Arial" w:eastAsia="Times New Roman" w:hAnsi="Arial" w:cs="Arial"/>
          <w:b/>
          <w:bCs/>
          <w:color w:val="000000"/>
          <w:sz w:val="20"/>
          <w:szCs w:val="20"/>
          <w:lang w:eastAsia="es-CR"/>
        </w:rPr>
      </w:pPr>
    </w:p>
    <w:p w:rsidR="00672FF2" w:rsidRPr="00600A17" w:rsidRDefault="00672FF2" w:rsidP="00600A17">
      <w:pPr>
        <w:spacing w:after="0" w:line="240" w:lineRule="auto"/>
        <w:jc w:val="both"/>
        <w:rPr>
          <w:rFonts w:ascii="Arial" w:eastAsia="Times New Roman" w:hAnsi="Arial" w:cs="Arial"/>
          <w:b/>
          <w:bCs/>
          <w:sz w:val="20"/>
          <w:szCs w:val="20"/>
          <w:lang w:eastAsia="es-CR"/>
        </w:rPr>
      </w:pPr>
      <w:r w:rsidRPr="00600A17">
        <w:rPr>
          <w:rFonts w:ascii="Arial" w:eastAsia="Times New Roman" w:hAnsi="Arial" w:cs="Arial"/>
          <w:b/>
          <w:bCs/>
          <w:sz w:val="20"/>
          <w:szCs w:val="20"/>
          <w:lang w:eastAsia="es-CR"/>
        </w:rPr>
        <w:t xml:space="preserve">ATENCIÓN A SOLICITUDES TÉCNICAS </w:t>
      </w:r>
    </w:p>
    <w:p w:rsidR="00672FF2" w:rsidRPr="00600A17" w:rsidRDefault="00672FF2" w:rsidP="00600A17">
      <w:pPr>
        <w:spacing w:after="0" w:line="240" w:lineRule="auto"/>
        <w:jc w:val="both"/>
        <w:rPr>
          <w:rFonts w:ascii="Arial" w:eastAsia="Times New Roman" w:hAnsi="Arial" w:cs="Arial"/>
          <w:b/>
          <w:bCs/>
          <w:sz w:val="20"/>
          <w:szCs w:val="20"/>
          <w:lang w:eastAsia="es-CR"/>
        </w:rPr>
      </w:pPr>
    </w:p>
    <w:p w:rsidR="00672FF2" w:rsidRPr="00600A17" w:rsidRDefault="00672FF2" w:rsidP="00600A17">
      <w:pPr>
        <w:spacing w:after="0" w:line="240" w:lineRule="auto"/>
        <w:jc w:val="both"/>
        <w:rPr>
          <w:rFonts w:ascii="Arial" w:eastAsia="Times New Roman" w:hAnsi="Arial" w:cs="Arial"/>
          <w:b/>
          <w:bCs/>
          <w:sz w:val="20"/>
          <w:szCs w:val="20"/>
          <w:lang w:eastAsia="es-CR"/>
        </w:rPr>
      </w:pPr>
      <w:r w:rsidRPr="00600A17">
        <w:rPr>
          <w:rFonts w:ascii="Arial" w:eastAsia="Times New Roman" w:hAnsi="Arial" w:cs="Arial"/>
          <w:b/>
          <w:bCs/>
          <w:sz w:val="20"/>
          <w:szCs w:val="20"/>
          <w:lang w:eastAsia="es-CR"/>
        </w:rPr>
        <w:t>Indicador N°38 Cantidad de consultas técnicas atendidas</w:t>
      </w:r>
    </w:p>
    <w:p w:rsidR="00600A17" w:rsidRDefault="00600A17" w:rsidP="00600A17">
      <w:pPr>
        <w:spacing w:after="0" w:line="240" w:lineRule="auto"/>
        <w:jc w:val="both"/>
        <w:rPr>
          <w:rFonts w:ascii="Arial" w:eastAsia="Times New Roman" w:hAnsi="Arial" w:cs="Arial"/>
          <w:sz w:val="20"/>
          <w:szCs w:val="20"/>
          <w:lang w:eastAsia="es-ES"/>
        </w:rPr>
      </w:pPr>
    </w:p>
    <w:p w:rsidR="00672FF2" w:rsidRPr="00600A17" w:rsidRDefault="00672FF2" w:rsidP="00600A17">
      <w:pPr>
        <w:spacing w:after="0" w:line="240" w:lineRule="auto"/>
        <w:jc w:val="both"/>
        <w:rPr>
          <w:rFonts w:ascii="Arial" w:eastAsia="Times New Roman" w:hAnsi="Arial" w:cs="Arial"/>
          <w:sz w:val="20"/>
          <w:szCs w:val="20"/>
          <w:lang w:eastAsia="es-ES"/>
        </w:rPr>
      </w:pPr>
      <w:r w:rsidRPr="00600A17">
        <w:rPr>
          <w:rFonts w:ascii="Arial" w:eastAsia="Times New Roman" w:hAnsi="Arial" w:cs="Arial"/>
          <w:sz w:val="20"/>
          <w:szCs w:val="20"/>
          <w:lang w:eastAsia="es-ES"/>
        </w:rPr>
        <w:t>A diciembre se recibieron y atendieron 1.357 consultas, como se puede observar en la tabla siguiente. La meta anual programada se cumplió en un 100%.</w:t>
      </w:r>
    </w:p>
    <w:p w:rsidR="00672FF2" w:rsidRPr="00600A17" w:rsidRDefault="00672FF2" w:rsidP="00600A17">
      <w:pPr>
        <w:spacing w:after="0" w:line="240" w:lineRule="auto"/>
        <w:jc w:val="both"/>
        <w:rPr>
          <w:rFonts w:ascii="Arial" w:eastAsia="Times New Roman" w:hAnsi="Arial" w:cs="Arial"/>
          <w:sz w:val="20"/>
          <w:szCs w:val="20"/>
          <w:lang w:eastAsia="es-ES"/>
        </w:rPr>
      </w:pPr>
    </w:p>
    <w:p w:rsidR="00672FF2" w:rsidRPr="00600A17" w:rsidRDefault="00672FF2" w:rsidP="00600A17">
      <w:pPr>
        <w:spacing w:after="0" w:line="240" w:lineRule="auto"/>
        <w:jc w:val="both"/>
        <w:rPr>
          <w:rFonts w:ascii="Arial" w:eastAsia="Times New Roman" w:hAnsi="Arial" w:cs="Arial"/>
          <w:sz w:val="20"/>
          <w:szCs w:val="20"/>
          <w:lang w:eastAsia="es-ES"/>
        </w:rPr>
      </w:pPr>
    </w:p>
    <w:p w:rsidR="00672FF2" w:rsidRPr="00600A17" w:rsidRDefault="00672FF2" w:rsidP="00600A17">
      <w:pPr>
        <w:spacing w:after="0" w:line="240" w:lineRule="auto"/>
        <w:jc w:val="both"/>
        <w:rPr>
          <w:rFonts w:ascii="Arial" w:eastAsia="Times New Roman" w:hAnsi="Arial" w:cs="Arial"/>
          <w:sz w:val="20"/>
          <w:szCs w:val="20"/>
          <w:lang w:eastAsia="es-ES"/>
        </w:rPr>
      </w:pPr>
    </w:p>
    <w:tbl>
      <w:tblPr>
        <w:tblW w:w="6685" w:type="dxa"/>
        <w:jc w:val="center"/>
        <w:tblBorders>
          <w:insideH w:val="single" w:sz="6" w:space="0" w:color="000000"/>
          <w:insideV w:val="single" w:sz="6" w:space="0" w:color="000000"/>
        </w:tblBorders>
        <w:tblLook w:val="04A0" w:firstRow="1" w:lastRow="0" w:firstColumn="1" w:lastColumn="0" w:noHBand="0" w:noVBand="1"/>
      </w:tblPr>
      <w:tblGrid>
        <w:gridCol w:w="3153"/>
        <w:gridCol w:w="3532"/>
      </w:tblGrid>
      <w:tr w:rsidR="00672FF2" w:rsidRPr="00600A17" w:rsidTr="002D5BDD">
        <w:trPr>
          <w:trHeight w:val="210"/>
          <w:jc w:val="center"/>
        </w:trPr>
        <w:tc>
          <w:tcPr>
            <w:tcW w:w="5000" w:type="pct"/>
            <w:gridSpan w:val="2"/>
            <w:shd w:val="clear" w:color="auto" w:fill="auto"/>
            <w:noWrap/>
            <w:hideMark/>
          </w:tcPr>
          <w:p w:rsidR="00672FF2" w:rsidRPr="00744CE6" w:rsidRDefault="00672FF2" w:rsidP="00744CE6">
            <w:pPr>
              <w:spacing w:after="0" w:line="240" w:lineRule="auto"/>
              <w:jc w:val="center"/>
              <w:rPr>
                <w:rFonts w:ascii="Arial" w:eastAsia="Times New Roman" w:hAnsi="Arial" w:cs="Arial"/>
                <w:b/>
                <w:sz w:val="20"/>
                <w:szCs w:val="20"/>
                <w:lang w:eastAsia="es-ES"/>
              </w:rPr>
            </w:pPr>
            <w:r w:rsidRPr="00744CE6">
              <w:rPr>
                <w:rFonts w:ascii="Arial" w:eastAsia="Times New Roman" w:hAnsi="Arial" w:cs="Arial"/>
                <w:b/>
                <w:sz w:val="20"/>
                <w:szCs w:val="20"/>
                <w:lang w:eastAsia="es-ES"/>
              </w:rPr>
              <w:t>Tabla 32 Solicitudes Atendidas</w:t>
            </w:r>
          </w:p>
          <w:p w:rsidR="00672FF2" w:rsidRPr="00600A17" w:rsidRDefault="00672FF2" w:rsidP="00600A17">
            <w:pPr>
              <w:spacing w:after="0" w:line="240" w:lineRule="auto"/>
              <w:jc w:val="both"/>
              <w:rPr>
                <w:rFonts w:ascii="Arial" w:eastAsia="Times New Roman" w:hAnsi="Arial" w:cs="Arial"/>
                <w:sz w:val="20"/>
                <w:szCs w:val="20"/>
                <w:lang w:eastAsia="es-ES"/>
              </w:rPr>
            </w:pPr>
          </w:p>
        </w:tc>
      </w:tr>
      <w:tr w:rsidR="00672FF2" w:rsidRPr="00600A17" w:rsidTr="002D5BDD">
        <w:trPr>
          <w:trHeight w:val="240"/>
          <w:jc w:val="center"/>
        </w:trPr>
        <w:tc>
          <w:tcPr>
            <w:tcW w:w="2358" w:type="pct"/>
            <w:shd w:val="clear" w:color="auto" w:fill="auto"/>
          </w:tcPr>
          <w:p w:rsidR="00672FF2" w:rsidRPr="00600A17" w:rsidRDefault="00672FF2" w:rsidP="00600A17">
            <w:pPr>
              <w:spacing w:after="0" w:line="240" w:lineRule="auto"/>
              <w:jc w:val="both"/>
              <w:rPr>
                <w:rFonts w:ascii="Arial" w:eastAsia="Times New Roman" w:hAnsi="Arial" w:cs="Arial"/>
                <w:sz w:val="20"/>
                <w:szCs w:val="20"/>
                <w:lang w:eastAsia="es-ES"/>
              </w:rPr>
            </w:pPr>
            <w:r w:rsidRPr="00600A17">
              <w:rPr>
                <w:rFonts w:ascii="Arial" w:eastAsia="Times New Roman" w:hAnsi="Arial" w:cs="Arial"/>
                <w:sz w:val="20"/>
                <w:szCs w:val="20"/>
                <w:lang w:eastAsia="es-ES"/>
              </w:rPr>
              <w:t>Tipo de Solicitud</w:t>
            </w:r>
          </w:p>
        </w:tc>
        <w:tc>
          <w:tcPr>
            <w:tcW w:w="2642" w:type="pct"/>
            <w:shd w:val="clear" w:color="auto" w:fill="auto"/>
          </w:tcPr>
          <w:p w:rsidR="00672FF2" w:rsidRPr="00600A17" w:rsidRDefault="00672FF2" w:rsidP="00600A17">
            <w:pPr>
              <w:spacing w:after="0" w:line="240" w:lineRule="auto"/>
              <w:jc w:val="both"/>
              <w:rPr>
                <w:rFonts w:ascii="Arial" w:eastAsia="Times New Roman" w:hAnsi="Arial" w:cs="Arial"/>
                <w:sz w:val="20"/>
                <w:szCs w:val="20"/>
                <w:lang w:eastAsia="es-ES"/>
              </w:rPr>
            </w:pPr>
            <w:r w:rsidRPr="00600A17">
              <w:rPr>
                <w:rFonts w:ascii="Arial" w:eastAsia="Times New Roman" w:hAnsi="Arial" w:cs="Arial"/>
                <w:sz w:val="20"/>
                <w:szCs w:val="20"/>
                <w:lang w:eastAsia="es-ES"/>
              </w:rPr>
              <w:t>Cantidad</w:t>
            </w:r>
          </w:p>
          <w:p w:rsidR="00672FF2" w:rsidRPr="00600A17" w:rsidRDefault="00672FF2" w:rsidP="00600A17">
            <w:pPr>
              <w:spacing w:after="0" w:line="240" w:lineRule="auto"/>
              <w:jc w:val="both"/>
              <w:rPr>
                <w:rFonts w:ascii="Arial" w:eastAsia="Times New Roman" w:hAnsi="Arial" w:cs="Arial"/>
                <w:sz w:val="20"/>
                <w:szCs w:val="20"/>
                <w:lang w:eastAsia="es-ES"/>
              </w:rPr>
            </w:pPr>
          </w:p>
        </w:tc>
      </w:tr>
      <w:tr w:rsidR="00672FF2" w:rsidRPr="00600A17" w:rsidTr="002D5BDD">
        <w:trPr>
          <w:trHeight w:val="323"/>
          <w:jc w:val="center"/>
        </w:trPr>
        <w:tc>
          <w:tcPr>
            <w:tcW w:w="2358" w:type="pct"/>
            <w:shd w:val="clear" w:color="auto" w:fill="auto"/>
          </w:tcPr>
          <w:p w:rsidR="00672FF2" w:rsidRPr="00600A17" w:rsidRDefault="00672FF2" w:rsidP="00600A17">
            <w:pPr>
              <w:spacing w:after="0" w:line="240" w:lineRule="auto"/>
              <w:jc w:val="both"/>
              <w:rPr>
                <w:rFonts w:ascii="Arial" w:eastAsia="Times New Roman" w:hAnsi="Arial" w:cs="Arial"/>
                <w:sz w:val="20"/>
                <w:szCs w:val="20"/>
                <w:lang w:eastAsia="es-ES"/>
              </w:rPr>
            </w:pPr>
            <w:r w:rsidRPr="00600A17">
              <w:rPr>
                <w:rFonts w:ascii="Arial" w:eastAsia="Times New Roman" w:hAnsi="Arial" w:cs="Arial"/>
                <w:sz w:val="20"/>
                <w:szCs w:val="20"/>
                <w:lang w:eastAsia="es-ES"/>
              </w:rPr>
              <w:t>Servicios de topografía</w:t>
            </w:r>
          </w:p>
          <w:p w:rsidR="00672FF2" w:rsidRPr="00600A17" w:rsidRDefault="00672FF2" w:rsidP="00600A17">
            <w:pPr>
              <w:spacing w:after="0" w:line="240" w:lineRule="auto"/>
              <w:jc w:val="both"/>
              <w:rPr>
                <w:rFonts w:ascii="Arial" w:eastAsia="Times New Roman" w:hAnsi="Arial" w:cs="Arial"/>
                <w:sz w:val="20"/>
                <w:szCs w:val="20"/>
                <w:lang w:eastAsia="es-ES"/>
              </w:rPr>
            </w:pPr>
          </w:p>
        </w:tc>
        <w:tc>
          <w:tcPr>
            <w:tcW w:w="2642" w:type="pct"/>
            <w:shd w:val="clear" w:color="auto" w:fill="auto"/>
          </w:tcPr>
          <w:p w:rsidR="00672FF2" w:rsidRPr="00600A17" w:rsidRDefault="00672FF2" w:rsidP="00600A17">
            <w:pPr>
              <w:spacing w:after="0" w:line="240" w:lineRule="auto"/>
              <w:jc w:val="both"/>
              <w:rPr>
                <w:rFonts w:ascii="Arial" w:eastAsia="Times New Roman" w:hAnsi="Arial" w:cs="Arial"/>
                <w:sz w:val="20"/>
                <w:szCs w:val="20"/>
                <w:lang w:eastAsia="es-ES"/>
              </w:rPr>
            </w:pPr>
            <w:r w:rsidRPr="00600A17">
              <w:rPr>
                <w:rFonts w:ascii="Arial" w:eastAsia="Times New Roman" w:hAnsi="Arial" w:cs="Arial"/>
                <w:sz w:val="20"/>
                <w:szCs w:val="20"/>
                <w:lang w:eastAsia="es-ES"/>
              </w:rPr>
              <w:t>1.003</w:t>
            </w:r>
          </w:p>
        </w:tc>
      </w:tr>
      <w:tr w:rsidR="00672FF2" w:rsidRPr="00600A17" w:rsidTr="002D5BDD">
        <w:trPr>
          <w:trHeight w:val="366"/>
          <w:jc w:val="center"/>
        </w:trPr>
        <w:tc>
          <w:tcPr>
            <w:tcW w:w="2358" w:type="pct"/>
            <w:shd w:val="clear" w:color="auto" w:fill="auto"/>
          </w:tcPr>
          <w:p w:rsidR="00672FF2" w:rsidRPr="00600A17" w:rsidRDefault="00672FF2" w:rsidP="00600A17">
            <w:pPr>
              <w:spacing w:after="0" w:line="240" w:lineRule="auto"/>
              <w:jc w:val="both"/>
              <w:rPr>
                <w:rFonts w:ascii="Arial" w:eastAsia="Times New Roman" w:hAnsi="Arial" w:cs="Arial"/>
                <w:sz w:val="20"/>
                <w:szCs w:val="20"/>
                <w:lang w:eastAsia="es-ES"/>
              </w:rPr>
            </w:pPr>
            <w:r w:rsidRPr="00600A17">
              <w:rPr>
                <w:rFonts w:ascii="Arial" w:eastAsia="Times New Roman" w:hAnsi="Arial" w:cs="Arial"/>
                <w:sz w:val="20"/>
                <w:szCs w:val="20"/>
                <w:lang w:eastAsia="es-ES"/>
              </w:rPr>
              <w:t>Estudios socioeconómicos</w:t>
            </w:r>
          </w:p>
        </w:tc>
        <w:tc>
          <w:tcPr>
            <w:tcW w:w="2642" w:type="pct"/>
            <w:shd w:val="clear" w:color="auto" w:fill="auto"/>
          </w:tcPr>
          <w:p w:rsidR="00672FF2" w:rsidRPr="00600A17" w:rsidRDefault="00672FF2" w:rsidP="00600A17">
            <w:pPr>
              <w:spacing w:after="0" w:line="240" w:lineRule="auto"/>
              <w:jc w:val="both"/>
              <w:rPr>
                <w:rFonts w:ascii="Arial" w:eastAsia="Times New Roman" w:hAnsi="Arial" w:cs="Arial"/>
                <w:sz w:val="20"/>
                <w:szCs w:val="20"/>
                <w:lang w:eastAsia="es-ES"/>
              </w:rPr>
            </w:pPr>
            <w:r w:rsidRPr="00600A17">
              <w:rPr>
                <w:rFonts w:ascii="Arial" w:eastAsia="Times New Roman" w:hAnsi="Arial" w:cs="Arial"/>
                <w:sz w:val="20"/>
                <w:szCs w:val="20"/>
                <w:lang w:eastAsia="es-ES"/>
              </w:rPr>
              <w:t>135</w:t>
            </w:r>
          </w:p>
        </w:tc>
      </w:tr>
      <w:tr w:rsidR="00672FF2" w:rsidRPr="00600A17" w:rsidTr="002D5BDD">
        <w:trPr>
          <w:trHeight w:val="661"/>
          <w:jc w:val="center"/>
        </w:trPr>
        <w:tc>
          <w:tcPr>
            <w:tcW w:w="2358" w:type="pct"/>
            <w:shd w:val="clear" w:color="auto" w:fill="auto"/>
          </w:tcPr>
          <w:p w:rsidR="00672FF2" w:rsidRPr="00600A17" w:rsidRDefault="00672FF2" w:rsidP="00600A17">
            <w:pPr>
              <w:spacing w:after="0" w:line="240" w:lineRule="auto"/>
              <w:jc w:val="both"/>
              <w:rPr>
                <w:rFonts w:ascii="Arial" w:eastAsia="Times New Roman" w:hAnsi="Arial" w:cs="Arial"/>
                <w:sz w:val="20"/>
                <w:szCs w:val="20"/>
                <w:lang w:eastAsia="es-ES"/>
              </w:rPr>
            </w:pPr>
            <w:r w:rsidRPr="00600A17">
              <w:rPr>
                <w:rFonts w:ascii="Arial" w:eastAsia="Times New Roman" w:hAnsi="Arial" w:cs="Arial"/>
                <w:sz w:val="20"/>
                <w:szCs w:val="20"/>
                <w:lang w:eastAsia="es-ES"/>
              </w:rPr>
              <w:t>Casos de asesoría a familias sobre subsidio de vivienda</w:t>
            </w:r>
          </w:p>
        </w:tc>
        <w:tc>
          <w:tcPr>
            <w:tcW w:w="2642" w:type="pct"/>
            <w:shd w:val="clear" w:color="auto" w:fill="auto"/>
          </w:tcPr>
          <w:p w:rsidR="00672FF2" w:rsidRPr="00600A17" w:rsidRDefault="00672FF2" w:rsidP="00600A17">
            <w:pPr>
              <w:spacing w:after="0" w:line="240" w:lineRule="auto"/>
              <w:jc w:val="both"/>
              <w:rPr>
                <w:rFonts w:ascii="Arial" w:eastAsia="Times New Roman" w:hAnsi="Arial" w:cs="Arial"/>
                <w:sz w:val="20"/>
                <w:szCs w:val="20"/>
                <w:lang w:eastAsia="es-ES"/>
              </w:rPr>
            </w:pPr>
            <w:r w:rsidRPr="00600A17">
              <w:rPr>
                <w:rFonts w:ascii="Arial" w:eastAsia="Times New Roman" w:hAnsi="Arial" w:cs="Arial"/>
                <w:sz w:val="20"/>
                <w:szCs w:val="20"/>
                <w:lang w:eastAsia="es-ES"/>
              </w:rPr>
              <w:t>184</w:t>
            </w:r>
          </w:p>
        </w:tc>
      </w:tr>
      <w:tr w:rsidR="00672FF2" w:rsidRPr="00600A17" w:rsidTr="002D5BDD">
        <w:trPr>
          <w:trHeight w:val="661"/>
          <w:jc w:val="center"/>
        </w:trPr>
        <w:tc>
          <w:tcPr>
            <w:tcW w:w="2358" w:type="pct"/>
            <w:shd w:val="clear" w:color="auto" w:fill="auto"/>
          </w:tcPr>
          <w:p w:rsidR="00672FF2" w:rsidRPr="00600A17" w:rsidRDefault="00672FF2" w:rsidP="00600A17">
            <w:pPr>
              <w:spacing w:after="0" w:line="240" w:lineRule="auto"/>
              <w:jc w:val="both"/>
              <w:rPr>
                <w:rFonts w:ascii="Arial" w:eastAsia="Times New Roman" w:hAnsi="Arial" w:cs="Arial"/>
                <w:sz w:val="20"/>
                <w:szCs w:val="20"/>
                <w:lang w:eastAsia="es-ES"/>
              </w:rPr>
            </w:pPr>
            <w:r w:rsidRPr="00600A17">
              <w:rPr>
                <w:rFonts w:ascii="Arial" w:eastAsia="Times New Roman" w:hAnsi="Arial" w:cs="Arial"/>
                <w:sz w:val="20"/>
                <w:szCs w:val="20"/>
                <w:lang w:eastAsia="es-ES"/>
              </w:rPr>
              <w:t>Apoyo legal-Hatillos</w:t>
            </w:r>
          </w:p>
        </w:tc>
        <w:tc>
          <w:tcPr>
            <w:tcW w:w="2642" w:type="pct"/>
            <w:shd w:val="clear" w:color="auto" w:fill="auto"/>
          </w:tcPr>
          <w:p w:rsidR="00672FF2" w:rsidRPr="00600A17" w:rsidRDefault="00672FF2" w:rsidP="00600A17">
            <w:pPr>
              <w:spacing w:after="0" w:line="240" w:lineRule="auto"/>
              <w:jc w:val="both"/>
              <w:rPr>
                <w:rFonts w:ascii="Arial" w:eastAsia="Times New Roman" w:hAnsi="Arial" w:cs="Arial"/>
                <w:sz w:val="20"/>
                <w:szCs w:val="20"/>
                <w:lang w:eastAsia="es-ES"/>
              </w:rPr>
            </w:pPr>
            <w:r w:rsidRPr="00600A17">
              <w:rPr>
                <w:rFonts w:ascii="Arial" w:eastAsia="Times New Roman" w:hAnsi="Arial" w:cs="Arial"/>
                <w:sz w:val="20"/>
                <w:szCs w:val="20"/>
                <w:lang w:eastAsia="es-ES"/>
              </w:rPr>
              <w:t>10</w:t>
            </w:r>
          </w:p>
        </w:tc>
      </w:tr>
      <w:tr w:rsidR="00672FF2" w:rsidRPr="00600A17" w:rsidTr="002D5BDD">
        <w:trPr>
          <w:trHeight w:val="661"/>
          <w:jc w:val="center"/>
        </w:trPr>
        <w:tc>
          <w:tcPr>
            <w:tcW w:w="2358" w:type="pct"/>
            <w:shd w:val="clear" w:color="auto" w:fill="auto"/>
          </w:tcPr>
          <w:p w:rsidR="00672FF2" w:rsidRPr="00600A17" w:rsidRDefault="00672FF2" w:rsidP="00600A17">
            <w:pPr>
              <w:spacing w:after="0" w:line="240" w:lineRule="auto"/>
              <w:jc w:val="both"/>
              <w:rPr>
                <w:rFonts w:ascii="Arial" w:eastAsia="Times New Roman" w:hAnsi="Arial" w:cs="Arial"/>
                <w:sz w:val="20"/>
                <w:szCs w:val="20"/>
                <w:lang w:eastAsia="es-ES"/>
              </w:rPr>
            </w:pPr>
            <w:r w:rsidRPr="00600A17">
              <w:rPr>
                <w:rFonts w:ascii="Arial" w:eastAsia="Times New Roman" w:hAnsi="Arial" w:cs="Arial"/>
                <w:sz w:val="20"/>
                <w:szCs w:val="20"/>
                <w:lang w:eastAsia="es-ES"/>
              </w:rPr>
              <w:t>Avalúos de Gestión de Servicios y Cobros.</w:t>
            </w:r>
          </w:p>
        </w:tc>
        <w:tc>
          <w:tcPr>
            <w:tcW w:w="2642" w:type="pct"/>
            <w:shd w:val="clear" w:color="auto" w:fill="auto"/>
          </w:tcPr>
          <w:p w:rsidR="00672FF2" w:rsidRPr="00600A17" w:rsidDel="005759F9" w:rsidRDefault="00672FF2" w:rsidP="00600A17">
            <w:pPr>
              <w:spacing w:after="0" w:line="240" w:lineRule="auto"/>
              <w:jc w:val="both"/>
              <w:rPr>
                <w:rFonts w:ascii="Arial" w:eastAsia="Times New Roman" w:hAnsi="Arial" w:cs="Arial"/>
                <w:sz w:val="20"/>
                <w:szCs w:val="20"/>
                <w:lang w:eastAsia="es-ES"/>
              </w:rPr>
            </w:pPr>
            <w:r w:rsidRPr="00600A17">
              <w:rPr>
                <w:rFonts w:ascii="Arial" w:eastAsia="Times New Roman" w:hAnsi="Arial" w:cs="Arial"/>
                <w:sz w:val="20"/>
                <w:szCs w:val="20"/>
                <w:lang w:eastAsia="es-ES"/>
              </w:rPr>
              <w:t>25</w:t>
            </w:r>
          </w:p>
        </w:tc>
      </w:tr>
      <w:tr w:rsidR="00672FF2" w:rsidRPr="00600A17" w:rsidTr="002D5BDD">
        <w:trPr>
          <w:trHeight w:val="661"/>
          <w:jc w:val="center"/>
        </w:trPr>
        <w:tc>
          <w:tcPr>
            <w:tcW w:w="2358" w:type="pct"/>
            <w:shd w:val="clear" w:color="auto" w:fill="auto"/>
          </w:tcPr>
          <w:p w:rsidR="00672FF2" w:rsidRPr="00600A17" w:rsidRDefault="00672FF2" w:rsidP="00600A17">
            <w:pPr>
              <w:spacing w:after="0" w:line="240" w:lineRule="auto"/>
              <w:jc w:val="both"/>
              <w:rPr>
                <w:rFonts w:ascii="Arial" w:eastAsia="Times New Roman" w:hAnsi="Arial" w:cs="Arial"/>
                <w:sz w:val="20"/>
                <w:szCs w:val="20"/>
                <w:lang w:eastAsia="es-ES"/>
              </w:rPr>
            </w:pPr>
            <w:r w:rsidRPr="00600A17">
              <w:rPr>
                <w:rFonts w:ascii="Arial" w:eastAsia="Times New Roman" w:hAnsi="Arial" w:cs="Arial"/>
                <w:sz w:val="20"/>
                <w:szCs w:val="20"/>
                <w:lang w:eastAsia="es-ES"/>
              </w:rPr>
              <w:t>Total</w:t>
            </w:r>
          </w:p>
        </w:tc>
        <w:tc>
          <w:tcPr>
            <w:tcW w:w="2642" w:type="pct"/>
            <w:shd w:val="clear" w:color="auto" w:fill="auto"/>
          </w:tcPr>
          <w:p w:rsidR="00672FF2" w:rsidRPr="00600A17" w:rsidRDefault="00672FF2" w:rsidP="00600A17">
            <w:pPr>
              <w:spacing w:after="0" w:line="240" w:lineRule="auto"/>
              <w:jc w:val="both"/>
              <w:rPr>
                <w:rFonts w:ascii="Arial" w:eastAsia="Times New Roman" w:hAnsi="Arial" w:cs="Arial"/>
                <w:sz w:val="20"/>
                <w:szCs w:val="20"/>
                <w:lang w:eastAsia="es-ES"/>
              </w:rPr>
            </w:pPr>
            <w:r w:rsidRPr="00600A17">
              <w:rPr>
                <w:rFonts w:ascii="Arial" w:eastAsia="Times New Roman" w:hAnsi="Arial" w:cs="Arial"/>
                <w:sz w:val="20"/>
                <w:szCs w:val="20"/>
                <w:lang w:eastAsia="es-ES"/>
              </w:rPr>
              <w:t>1.357</w:t>
            </w:r>
          </w:p>
        </w:tc>
      </w:tr>
    </w:tbl>
    <w:p w:rsidR="00672FF2" w:rsidRPr="00600A17" w:rsidRDefault="00672FF2" w:rsidP="00600A17">
      <w:pPr>
        <w:spacing w:after="0" w:line="240" w:lineRule="auto"/>
        <w:jc w:val="both"/>
        <w:rPr>
          <w:rFonts w:ascii="Arial" w:eastAsia="Times New Roman" w:hAnsi="Arial" w:cs="Arial"/>
          <w:sz w:val="20"/>
          <w:szCs w:val="20"/>
          <w:lang w:eastAsia="es-ES"/>
        </w:rPr>
      </w:pPr>
    </w:p>
    <w:p w:rsidR="00672FF2" w:rsidRPr="00600A17" w:rsidRDefault="00600A17" w:rsidP="00600A17">
      <w:pPr>
        <w:spacing w:after="0" w:line="240" w:lineRule="auto"/>
        <w:jc w:val="both"/>
        <w:rPr>
          <w:rFonts w:ascii="Arial" w:eastAsia="Times New Roman" w:hAnsi="Arial" w:cs="Arial"/>
          <w:sz w:val="18"/>
          <w:szCs w:val="18"/>
          <w:lang w:eastAsia="es-ES"/>
        </w:rPr>
      </w:pPr>
      <w:r>
        <w:rPr>
          <w:rFonts w:ascii="Arial" w:eastAsia="Times New Roman" w:hAnsi="Arial" w:cs="Arial"/>
          <w:sz w:val="20"/>
          <w:szCs w:val="20"/>
          <w:lang w:eastAsia="es-ES"/>
        </w:rPr>
        <w:t xml:space="preserve"> </w:t>
      </w:r>
      <w:r w:rsidR="00672FF2" w:rsidRPr="00600A17">
        <w:rPr>
          <w:rFonts w:ascii="Arial" w:eastAsia="Times New Roman" w:hAnsi="Arial" w:cs="Arial"/>
          <w:sz w:val="20"/>
          <w:szCs w:val="20"/>
          <w:lang w:eastAsia="es-ES"/>
        </w:rPr>
        <w:t xml:space="preserve">               </w:t>
      </w:r>
      <w:r w:rsidR="00672FF2" w:rsidRPr="00600A17">
        <w:rPr>
          <w:rFonts w:ascii="Arial" w:eastAsia="Times New Roman" w:hAnsi="Arial" w:cs="Arial"/>
          <w:sz w:val="18"/>
          <w:szCs w:val="18"/>
          <w:lang w:eastAsia="es-ES"/>
        </w:rPr>
        <w:t>Nota Fuente: Informe de rendimiento de cuentas de área. (2017)</w:t>
      </w:r>
    </w:p>
    <w:p w:rsidR="00600A17" w:rsidRDefault="00672FF2" w:rsidP="00672FF2">
      <w:pPr>
        <w:rPr>
          <w:rFonts w:ascii="Arial" w:eastAsia="Times New Roman" w:hAnsi="Arial" w:cs="Arial"/>
          <w:b/>
          <w:bCs/>
          <w:color w:val="000000"/>
          <w:sz w:val="20"/>
          <w:szCs w:val="20"/>
          <w:lang w:eastAsia="es-CR"/>
        </w:rPr>
      </w:pPr>
      <w:r w:rsidRPr="00672FF2">
        <w:rPr>
          <w:rFonts w:ascii="Arial" w:eastAsia="Times New Roman" w:hAnsi="Arial" w:cs="Arial"/>
          <w:b/>
          <w:bCs/>
          <w:color w:val="000000"/>
          <w:sz w:val="20"/>
          <w:szCs w:val="20"/>
          <w:lang w:eastAsia="es-CR"/>
        </w:rPr>
        <w:br w:type="page"/>
      </w:r>
    </w:p>
    <w:p w:rsidR="00FC7F4D" w:rsidRDefault="00FC7F4D" w:rsidP="00672FF2">
      <w:pPr>
        <w:rPr>
          <w:rFonts w:ascii="Arial" w:eastAsia="Times New Roman" w:hAnsi="Arial" w:cs="Arial"/>
          <w:b/>
          <w:bCs/>
          <w:sz w:val="20"/>
          <w:szCs w:val="20"/>
          <w:lang w:eastAsia="es-CR"/>
        </w:rPr>
      </w:pPr>
    </w:p>
    <w:p w:rsidR="00672FF2" w:rsidRPr="00600A17" w:rsidRDefault="00672FF2" w:rsidP="00672FF2">
      <w:pPr>
        <w:rPr>
          <w:rFonts w:ascii="Arial" w:eastAsia="Times New Roman" w:hAnsi="Arial" w:cs="Arial"/>
          <w:b/>
          <w:bCs/>
          <w:sz w:val="20"/>
          <w:szCs w:val="20"/>
          <w:lang w:eastAsia="es-CR"/>
        </w:rPr>
      </w:pPr>
      <w:r w:rsidRPr="00600A17">
        <w:rPr>
          <w:rFonts w:ascii="Arial" w:eastAsia="Times New Roman" w:hAnsi="Arial" w:cs="Arial"/>
          <w:b/>
          <w:bCs/>
          <w:sz w:val="20"/>
          <w:szCs w:val="20"/>
          <w:lang w:eastAsia="es-CR"/>
        </w:rPr>
        <w:t>COMPRA DE TERRENOS</w:t>
      </w:r>
    </w:p>
    <w:p w:rsidR="00672FF2" w:rsidRPr="00600A17" w:rsidRDefault="00672FF2" w:rsidP="00672FF2">
      <w:pPr>
        <w:rPr>
          <w:rFonts w:ascii="Arial" w:eastAsia="Times New Roman" w:hAnsi="Arial" w:cs="Arial"/>
          <w:b/>
          <w:bCs/>
          <w:sz w:val="20"/>
          <w:szCs w:val="20"/>
          <w:lang w:eastAsia="es-CR"/>
        </w:rPr>
      </w:pPr>
      <w:r w:rsidRPr="00600A17">
        <w:rPr>
          <w:rFonts w:ascii="Arial" w:eastAsia="Times New Roman" w:hAnsi="Arial" w:cs="Arial"/>
          <w:b/>
          <w:bCs/>
          <w:sz w:val="20"/>
          <w:szCs w:val="20"/>
          <w:lang w:eastAsia="es-CR"/>
        </w:rPr>
        <w:t xml:space="preserve">Indicador N°39 Monto en millones de colones de  los recursos invertidos en la compra de terrenos para El Erizo (¢1.100 millones) y Garabito (¢680 millones) </w:t>
      </w:r>
    </w:p>
    <w:p w:rsidR="00672FF2" w:rsidRPr="00600A17" w:rsidRDefault="00672FF2" w:rsidP="00600A17">
      <w:pPr>
        <w:spacing w:after="0" w:line="240" w:lineRule="auto"/>
        <w:jc w:val="both"/>
        <w:rPr>
          <w:rFonts w:ascii="Arial" w:eastAsia="Times New Roman" w:hAnsi="Arial" w:cs="Arial"/>
          <w:bCs/>
          <w:color w:val="000000"/>
          <w:sz w:val="20"/>
          <w:szCs w:val="20"/>
          <w:lang w:eastAsia="es-CR"/>
        </w:rPr>
      </w:pPr>
      <w:r w:rsidRPr="00600A17">
        <w:rPr>
          <w:rFonts w:ascii="Arial" w:eastAsia="Times New Roman" w:hAnsi="Arial" w:cs="Arial"/>
          <w:bCs/>
          <w:color w:val="000000"/>
          <w:sz w:val="20"/>
          <w:szCs w:val="20"/>
          <w:lang w:eastAsia="es-CR"/>
        </w:rPr>
        <w:t>A diciembre no se realizó la compra de los terrenos porque se encuentran en proceso actividades previas, las cuales se detallan en la siguiente tabla:</w:t>
      </w:r>
    </w:p>
    <w:tbl>
      <w:tblPr>
        <w:tblW w:w="9203" w:type="dxa"/>
        <w:tblBorders>
          <w:insideH w:val="single" w:sz="6" w:space="0" w:color="000000"/>
          <w:insideV w:val="single" w:sz="6" w:space="0" w:color="000000"/>
        </w:tblBorders>
        <w:tblLook w:val="04A0" w:firstRow="1" w:lastRow="0" w:firstColumn="1" w:lastColumn="0" w:noHBand="0" w:noVBand="1"/>
      </w:tblPr>
      <w:tblGrid>
        <w:gridCol w:w="4340"/>
        <w:gridCol w:w="4863"/>
      </w:tblGrid>
      <w:tr w:rsidR="00672FF2" w:rsidRPr="00672FF2" w:rsidTr="002D5BDD">
        <w:trPr>
          <w:trHeight w:val="264"/>
        </w:trPr>
        <w:tc>
          <w:tcPr>
            <w:tcW w:w="5000" w:type="pct"/>
            <w:gridSpan w:val="2"/>
            <w:shd w:val="clear" w:color="auto" w:fill="auto"/>
            <w:noWrap/>
            <w:hideMark/>
          </w:tcPr>
          <w:p w:rsidR="00FC7F4D" w:rsidRDefault="00FC7F4D" w:rsidP="00600A17">
            <w:pPr>
              <w:jc w:val="center"/>
              <w:rPr>
                <w:rFonts w:ascii="Arial" w:eastAsia="Times New Roman" w:hAnsi="Arial" w:cs="Arial"/>
                <w:b/>
                <w:bCs/>
                <w:color w:val="000000"/>
                <w:sz w:val="20"/>
                <w:szCs w:val="20"/>
                <w:lang w:eastAsia="es-CR"/>
              </w:rPr>
            </w:pPr>
          </w:p>
          <w:p w:rsidR="00672FF2" w:rsidRPr="00672FF2" w:rsidRDefault="00672FF2" w:rsidP="00600A17">
            <w:pPr>
              <w:jc w:val="center"/>
              <w:rPr>
                <w:rFonts w:ascii="Arial" w:eastAsia="Times New Roman" w:hAnsi="Arial" w:cs="Arial"/>
                <w:b/>
                <w:bCs/>
                <w:color w:val="000000"/>
                <w:sz w:val="20"/>
                <w:szCs w:val="20"/>
                <w:lang w:eastAsia="es-CR"/>
              </w:rPr>
            </w:pPr>
            <w:r w:rsidRPr="00672FF2">
              <w:rPr>
                <w:rFonts w:ascii="Arial" w:eastAsia="Times New Roman" w:hAnsi="Arial" w:cs="Arial"/>
                <w:b/>
                <w:bCs/>
                <w:color w:val="000000"/>
                <w:sz w:val="20"/>
                <w:szCs w:val="20"/>
                <w:lang w:eastAsia="es-CR"/>
              </w:rPr>
              <w:t>Tabla 33 Acciones Realizadas</w:t>
            </w:r>
          </w:p>
        </w:tc>
      </w:tr>
      <w:tr w:rsidR="00672FF2" w:rsidRPr="00672FF2" w:rsidTr="002D5BDD">
        <w:trPr>
          <w:trHeight w:val="808"/>
        </w:trPr>
        <w:tc>
          <w:tcPr>
            <w:tcW w:w="2358" w:type="pct"/>
            <w:shd w:val="clear" w:color="auto" w:fill="auto"/>
            <w:hideMark/>
          </w:tcPr>
          <w:p w:rsidR="00672FF2" w:rsidRPr="00672FF2" w:rsidRDefault="00672FF2" w:rsidP="00672FF2">
            <w:pPr>
              <w:rPr>
                <w:rFonts w:ascii="Arial" w:eastAsia="Times New Roman" w:hAnsi="Arial" w:cs="Arial"/>
                <w:b/>
                <w:bCs/>
                <w:color w:val="000000"/>
                <w:sz w:val="20"/>
                <w:szCs w:val="20"/>
                <w:lang w:eastAsia="es-CR"/>
              </w:rPr>
            </w:pPr>
            <w:r w:rsidRPr="00672FF2">
              <w:rPr>
                <w:rFonts w:ascii="Arial" w:eastAsia="Times New Roman" w:hAnsi="Arial" w:cs="Arial"/>
                <w:b/>
                <w:bCs/>
                <w:color w:val="000000"/>
                <w:sz w:val="20"/>
                <w:szCs w:val="20"/>
                <w:lang w:eastAsia="es-CR"/>
              </w:rPr>
              <w:t>a) Actividades realizadas:</w:t>
            </w:r>
          </w:p>
        </w:tc>
        <w:tc>
          <w:tcPr>
            <w:tcW w:w="2642" w:type="pct"/>
            <w:shd w:val="clear" w:color="auto" w:fill="auto"/>
          </w:tcPr>
          <w:p w:rsidR="00672FF2" w:rsidRPr="006F2D81" w:rsidRDefault="00672FF2" w:rsidP="00600A17">
            <w:pPr>
              <w:spacing w:after="0" w:line="240" w:lineRule="auto"/>
              <w:jc w:val="both"/>
              <w:rPr>
                <w:rFonts w:ascii="Arial" w:eastAsia="Times New Roman" w:hAnsi="Arial" w:cs="Arial"/>
                <w:bCs/>
                <w:sz w:val="18"/>
                <w:szCs w:val="18"/>
                <w:lang w:eastAsia="es-CR"/>
              </w:rPr>
            </w:pPr>
            <w:r w:rsidRPr="006F2D81">
              <w:rPr>
                <w:rFonts w:ascii="Arial" w:eastAsia="Times New Roman" w:hAnsi="Arial" w:cs="Arial"/>
                <w:bCs/>
                <w:sz w:val="18"/>
                <w:szCs w:val="18"/>
                <w:lang w:eastAsia="es-CR"/>
              </w:rPr>
              <w:t>- Se realizó el inventario de terrenos en venta en la zona, a través de consultas web.</w:t>
            </w:r>
          </w:p>
          <w:p w:rsidR="00672FF2" w:rsidRPr="006F2D81" w:rsidRDefault="00672FF2" w:rsidP="00600A17">
            <w:pPr>
              <w:spacing w:after="0" w:line="240" w:lineRule="auto"/>
              <w:jc w:val="both"/>
              <w:rPr>
                <w:rFonts w:ascii="Arial" w:eastAsia="Times New Roman" w:hAnsi="Arial" w:cs="Arial"/>
                <w:bCs/>
                <w:sz w:val="18"/>
                <w:szCs w:val="18"/>
                <w:lang w:eastAsia="es-CR"/>
              </w:rPr>
            </w:pPr>
            <w:r w:rsidRPr="006F2D81">
              <w:rPr>
                <w:rFonts w:ascii="Arial" w:eastAsia="Times New Roman" w:hAnsi="Arial" w:cs="Arial"/>
                <w:bCs/>
                <w:sz w:val="18"/>
                <w:szCs w:val="18"/>
                <w:lang w:eastAsia="es-CR"/>
              </w:rPr>
              <w:t>- Se anunció en medios locales y redes sociales.</w:t>
            </w:r>
          </w:p>
          <w:p w:rsidR="00672FF2" w:rsidRPr="006F2D81" w:rsidRDefault="00672FF2" w:rsidP="00600A17">
            <w:pPr>
              <w:spacing w:after="0" w:line="240" w:lineRule="auto"/>
              <w:jc w:val="both"/>
              <w:rPr>
                <w:rFonts w:ascii="Arial" w:eastAsia="Times New Roman" w:hAnsi="Arial" w:cs="Arial"/>
                <w:bCs/>
                <w:sz w:val="18"/>
                <w:szCs w:val="18"/>
                <w:lang w:eastAsia="es-CR"/>
              </w:rPr>
            </w:pPr>
            <w:r w:rsidRPr="006F2D81">
              <w:rPr>
                <w:rFonts w:ascii="Arial" w:eastAsia="Times New Roman" w:hAnsi="Arial" w:cs="Arial"/>
                <w:bCs/>
                <w:sz w:val="18"/>
                <w:szCs w:val="18"/>
                <w:lang w:eastAsia="es-CR"/>
              </w:rPr>
              <w:t>- Se realizaron visitas de reconocimiento, identificación e inspección de terrenos.</w:t>
            </w:r>
          </w:p>
          <w:p w:rsidR="00672FF2" w:rsidRPr="006F2D81" w:rsidRDefault="00672FF2" w:rsidP="00600A17">
            <w:pPr>
              <w:spacing w:after="0" w:line="240" w:lineRule="auto"/>
              <w:jc w:val="both"/>
              <w:rPr>
                <w:rFonts w:ascii="Arial" w:eastAsia="Times New Roman" w:hAnsi="Arial" w:cs="Arial"/>
                <w:bCs/>
                <w:sz w:val="18"/>
                <w:szCs w:val="18"/>
                <w:lang w:eastAsia="es-CR"/>
              </w:rPr>
            </w:pPr>
            <w:r w:rsidRPr="006F2D81">
              <w:rPr>
                <w:rFonts w:ascii="Arial" w:eastAsia="Times New Roman" w:hAnsi="Arial" w:cs="Arial"/>
                <w:bCs/>
                <w:sz w:val="18"/>
                <w:szCs w:val="18"/>
                <w:lang w:eastAsia="es-CR"/>
              </w:rPr>
              <w:t>- Se consultó a la Comisión Nacional de Emergencias sobre vulnerabilidad ante amenazas naturales.</w:t>
            </w:r>
          </w:p>
          <w:p w:rsidR="00672FF2" w:rsidRPr="006F2D81" w:rsidRDefault="00672FF2" w:rsidP="00600A17">
            <w:pPr>
              <w:spacing w:after="0" w:line="240" w:lineRule="auto"/>
              <w:jc w:val="both"/>
              <w:rPr>
                <w:rFonts w:ascii="Arial" w:eastAsia="Times New Roman" w:hAnsi="Arial" w:cs="Arial"/>
                <w:bCs/>
                <w:sz w:val="18"/>
                <w:szCs w:val="18"/>
                <w:lang w:eastAsia="es-CR"/>
              </w:rPr>
            </w:pPr>
            <w:r w:rsidRPr="006F2D81">
              <w:rPr>
                <w:rFonts w:ascii="Arial" w:eastAsia="Times New Roman" w:hAnsi="Arial" w:cs="Arial"/>
                <w:bCs/>
                <w:sz w:val="18"/>
                <w:szCs w:val="18"/>
                <w:lang w:eastAsia="es-CR"/>
              </w:rPr>
              <w:t>- Se preseleccionaron los terrenos.</w:t>
            </w:r>
          </w:p>
          <w:p w:rsidR="00672FF2" w:rsidRPr="006F2D81" w:rsidRDefault="00672FF2" w:rsidP="00600A17">
            <w:pPr>
              <w:spacing w:after="0" w:line="240" w:lineRule="auto"/>
              <w:jc w:val="both"/>
              <w:rPr>
                <w:rFonts w:ascii="Arial" w:eastAsia="Times New Roman" w:hAnsi="Arial" w:cs="Arial"/>
                <w:bCs/>
                <w:sz w:val="18"/>
                <w:szCs w:val="18"/>
                <w:lang w:eastAsia="es-CR"/>
              </w:rPr>
            </w:pPr>
            <w:r w:rsidRPr="006F2D81">
              <w:rPr>
                <w:rFonts w:ascii="Arial" w:eastAsia="Times New Roman" w:hAnsi="Arial" w:cs="Arial"/>
                <w:bCs/>
                <w:sz w:val="18"/>
                <w:szCs w:val="18"/>
                <w:lang w:eastAsia="es-CR"/>
              </w:rPr>
              <w:t>- Se preparó el informe con la recomendación técnica del posible terreno a comprar.</w:t>
            </w:r>
          </w:p>
          <w:p w:rsidR="00672FF2" w:rsidRPr="006F2D81" w:rsidRDefault="00672FF2" w:rsidP="00600A17">
            <w:pPr>
              <w:spacing w:after="0" w:line="240" w:lineRule="auto"/>
              <w:jc w:val="both"/>
              <w:rPr>
                <w:rFonts w:ascii="Arial" w:eastAsia="Times New Roman" w:hAnsi="Arial" w:cs="Arial"/>
                <w:bCs/>
                <w:sz w:val="18"/>
                <w:szCs w:val="18"/>
                <w:lang w:eastAsia="es-CR"/>
              </w:rPr>
            </w:pPr>
            <w:r w:rsidRPr="006F2D81">
              <w:rPr>
                <w:rFonts w:ascii="Arial" w:eastAsia="Times New Roman" w:hAnsi="Arial" w:cs="Arial"/>
                <w:bCs/>
                <w:sz w:val="18"/>
                <w:szCs w:val="18"/>
                <w:lang w:eastAsia="es-CR"/>
              </w:rPr>
              <w:t>- Se programó reunión con AyA para evaluar la posibilidad de asignar una disponibilidad de agua al terreno preseleccionado para 200 servicios.</w:t>
            </w:r>
          </w:p>
          <w:p w:rsidR="00672FF2" w:rsidRPr="006F2D81" w:rsidRDefault="00672FF2" w:rsidP="00600A17">
            <w:pPr>
              <w:spacing w:after="0" w:line="240" w:lineRule="auto"/>
              <w:jc w:val="both"/>
              <w:rPr>
                <w:rFonts w:ascii="Arial" w:eastAsia="Times New Roman" w:hAnsi="Arial" w:cs="Arial"/>
                <w:bCs/>
                <w:sz w:val="18"/>
                <w:szCs w:val="18"/>
                <w:lang w:eastAsia="es-CR"/>
              </w:rPr>
            </w:pPr>
            <w:r w:rsidRPr="006F2D81">
              <w:rPr>
                <w:rFonts w:ascii="Arial" w:eastAsia="Times New Roman" w:hAnsi="Arial" w:cs="Arial"/>
                <w:bCs/>
                <w:sz w:val="18"/>
                <w:szCs w:val="18"/>
                <w:lang w:eastAsia="es-CR"/>
              </w:rPr>
              <w:t>- Se realizó reuniones de seguimiento con el propietario del terreno, para negociar las condiciones de compra, por ejemplo la elaboración de estudio hidrogeológico y estudio de suelos.</w:t>
            </w:r>
          </w:p>
        </w:tc>
      </w:tr>
      <w:tr w:rsidR="00672FF2" w:rsidRPr="00672FF2" w:rsidTr="002D5BDD">
        <w:trPr>
          <w:trHeight w:val="690"/>
        </w:trPr>
        <w:tc>
          <w:tcPr>
            <w:tcW w:w="2358" w:type="pct"/>
            <w:shd w:val="clear" w:color="auto" w:fill="auto"/>
            <w:hideMark/>
          </w:tcPr>
          <w:p w:rsidR="00672FF2" w:rsidRPr="00672FF2" w:rsidRDefault="00672FF2" w:rsidP="00672FF2">
            <w:pPr>
              <w:rPr>
                <w:rFonts w:ascii="Arial" w:eastAsia="Times New Roman" w:hAnsi="Arial" w:cs="Arial"/>
                <w:b/>
                <w:bCs/>
                <w:color w:val="000000"/>
                <w:sz w:val="20"/>
                <w:szCs w:val="20"/>
                <w:lang w:eastAsia="es-CR"/>
              </w:rPr>
            </w:pPr>
            <w:r w:rsidRPr="00672FF2">
              <w:rPr>
                <w:rFonts w:ascii="Arial" w:eastAsia="Times New Roman" w:hAnsi="Arial" w:cs="Arial"/>
                <w:b/>
                <w:bCs/>
                <w:color w:val="000000"/>
                <w:sz w:val="20"/>
                <w:szCs w:val="20"/>
                <w:lang w:eastAsia="es-CR"/>
              </w:rPr>
              <w:t xml:space="preserve">b) Limitaciones: </w:t>
            </w:r>
          </w:p>
          <w:p w:rsidR="00672FF2" w:rsidRPr="00672FF2" w:rsidRDefault="00672FF2" w:rsidP="00672FF2">
            <w:pPr>
              <w:rPr>
                <w:rFonts w:ascii="Arial" w:eastAsia="Times New Roman" w:hAnsi="Arial" w:cs="Arial"/>
                <w:b/>
                <w:bCs/>
                <w:color w:val="000000"/>
                <w:sz w:val="20"/>
                <w:szCs w:val="20"/>
                <w:lang w:eastAsia="es-CR"/>
              </w:rPr>
            </w:pPr>
          </w:p>
          <w:p w:rsidR="00672FF2" w:rsidRPr="00672FF2" w:rsidRDefault="00672FF2" w:rsidP="00672FF2">
            <w:pPr>
              <w:rPr>
                <w:rFonts w:ascii="Arial" w:eastAsia="Times New Roman" w:hAnsi="Arial" w:cs="Arial"/>
                <w:b/>
                <w:bCs/>
                <w:color w:val="000000"/>
                <w:sz w:val="20"/>
                <w:szCs w:val="20"/>
                <w:lang w:eastAsia="es-CR"/>
              </w:rPr>
            </w:pPr>
          </w:p>
        </w:tc>
        <w:tc>
          <w:tcPr>
            <w:tcW w:w="2642" w:type="pct"/>
            <w:shd w:val="clear" w:color="auto" w:fill="auto"/>
          </w:tcPr>
          <w:p w:rsidR="00672FF2" w:rsidRPr="006F2D81" w:rsidRDefault="00672FF2" w:rsidP="00600A17">
            <w:pPr>
              <w:spacing w:after="0" w:line="240" w:lineRule="auto"/>
              <w:jc w:val="both"/>
              <w:rPr>
                <w:rFonts w:ascii="Arial" w:eastAsia="Times New Roman" w:hAnsi="Arial" w:cs="Arial"/>
                <w:bCs/>
                <w:sz w:val="18"/>
                <w:szCs w:val="18"/>
                <w:lang w:eastAsia="es-CR"/>
              </w:rPr>
            </w:pPr>
            <w:r w:rsidRPr="006F2D81">
              <w:rPr>
                <w:rFonts w:ascii="Arial" w:eastAsia="Times New Roman" w:hAnsi="Arial" w:cs="Arial"/>
                <w:bCs/>
                <w:sz w:val="18"/>
                <w:szCs w:val="18"/>
                <w:lang w:eastAsia="es-CR"/>
              </w:rPr>
              <w:t>- Terrenos con las siguientes condiciones:</w:t>
            </w:r>
          </w:p>
          <w:p w:rsidR="00672FF2" w:rsidRPr="006F2D81" w:rsidRDefault="00672FF2" w:rsidP="00600A17">
            <w:pPr>
              <w:spacing w:after="0" w:line="240" w:lineRule="auto"/>
              <w:jc w:val="both"/>
              <w:rPr>
                <w:rFonts w:ascii="Arial" w:eastAsia="Times New Roman" w:hAnsi="Arial" w:cs="Arial"/>
                <w:bCs/>
                <w:sz w:val="18"/>
                <w:szCs w:val="18"/>
                <w:lang w:eastAsia="es-CR"/>
              </w:rPr>
            </w:pPr>
            <w:r w:rsidRPr="006F2D81">
              <w:rPr>
                <w:rFonts w:ascii="Arial" w:eastAsia="Times New Roman" w:hAnsi="Arial" w:cs="Arial"/>
                <w:bCs/>
                <w:sz w:val="18"/>
                <w:szCs w:val="18"/>
                <w:lang w:eastAsia="es-CR"/>
              </w:rPr>
              <w:t xml:space="preserve">- </w:t>
            </w:r>
            <w:r w:rsidR="00600A17" w:rsidRPr="006F2D81">
              <w:rPr>
                <w:rFonts w:ascii="Arial" w:eastAsia="Times New Roman" w:hAnsi="Arial" w:cs="Arial"/>
                <w:bCs/>
                <w:sz w:val="18"/>
                <w:szCs w:val="18"/>
                <w:lang w:eastAsia="es-CR"/>
              </w:rPr>
              <w:t>Área</w:t>
            </w:r>
            <w:r w:rsidRPr="006F2D81">
              <w:rPr>
                <w:rFonts w:ascii="Arial" w:eastAsia="Times New Roman" w:hAnsi="Arial" w:cs="Arial"/>
                <w:bCs/>
                <w:sz w:val="18"/>
                <w:szCs w:val="18"/>
                <w:lang w:eastAsia="es-CR"/>
              </w:rPr>
              <w:t xml:space="preserve"> pequeña (menores a 1 ha) que incumplen  el perfil de terrenos que se está buscando (alrededor del 35% de los terrenos identificados).</w:t>
            </w:r>
          </w:p>
          <w:p w:rsidR="00672FF2" w:rsidRPr="006F2D81" w:rsidRDefault="00672FF2" w:rsidP="00600A17">
            <w:pPr>
              <w:spacing w:after="0" w:line="240" w:lineRule="auto"/>
              <w:jc w:val="both"/>
              <w:rPr>
                <w:rFonts w:ascii="Arial" w:eastAsia="Times New Roman" w:hAnsi="Arial" w:cs="Arial"/>
                <w:bCs/>
                <w:sz w:val="18"/>
                <w:szCs w:val="18"/>
                <w:lang w:eastAsia="es-CR"/>
              </w:rPr>
            </w:pPr>
            <w:r w:rsidRPr="006F2D81">
              <w:rPr>
                <w:rFonts w:ascii="Arial" w:eastAsia="Times New Roman" w:hAnsi="Arial" w:cs="Arial"/>
                <w:bCs/>
                <w:sz w:val="18"/>
                <w:szCs w:val="18"/>
                <w:lang w:eastAsia="es-CR"/>
              </w:rPr>
              <w:t>- Área grandes pero lo aprovechable es muy reducido, con topografía no apta para desarrollos habitacionales y que requieren una inversión muy alta, por su tamaño</w:t>
            </w:r>
          </w:p>
          <w:p w:rsidR="00672FF2" w:rsidRPr="006F2D81" w:rsidRDefault="00672FF2" w:rsidP="00600A17">
            <w:pPr>
              <w:spacing w:after="0" w:line="240" w:lineRule="auto"/>
              <w:jc w:val="both"/>
              <w:rPr>
                <w:rFonts w:ascii="Arial" w:eastAsia="Times New Roman" w:hAnsi="Arial" w:cs="Arial"/>
                <w:bCs/>
                <w:sz w:val="18"/>
                <w:szCs w:val="18"/>
                <w:lang w:eastAsia="es-CR"/>
              </w:rPr>
            </w:pPr>
            <w:r w:rsidRPr="006F2D81">
              <w:rPr>
                <w:rFonts w:ascii="Arial" w:eastAsia="Times New Roman" w:hAnsi="Arial" w:cs="Arial"/>
                <w:bCs/>
                <w:sz w:val="18"/>
                <w:szCs w:val="18"/>
                <w:lang w:eastAsia="es-CR"/>
              </w:rPr>
              <w:t>- Ubicados muy cerca de Jacó con una plusvalía muy alta, con elevados costos por metro cuadrado, que se alejan del presupuesto establecido.</w:t>
            </w:r>
          </w:p>
          <w:p w:rsidR="00672FF2" w:rsidRPr="006F2D81" w:rsidRDefault="00672FF2" w:rsidP="00600A17">
            <w:pPr>
              <w:spacing w:after="0" w:line="240" w:lineRule="auto"/>
              <w:jc w:val="both"/>
              <w:rPr>
                <w:rFonts w:ascii="Arial" w:eastAsia="Times New Roman" w:hAnsi="Arial" w:cs="Arial"/>
                <w:bCs/>
                <w:sz w:val="18"/>
                <w:szCs w:val="18"/>
                <w:lang w:eastAsia="es-CR"/>
              </w:rPr>
            </w:pPr>
            <w:r w:rsidRPr="006F2D81">
              <w:rPr>
                <w:rFonts w:ascii="Arial" w:eastAsia="Times New Roman" w:hAnsi="Arial" w:cs="Arial"/>
                <w:bCs/>
                <w:sz w:val="18"/>
                <w:szCs w:val="18"/>
                <w:lang w:eastAsia="es-CR"/>
              </w:rPr>
              <w:t>- Ubicados en asentamientos y zonas muy rurales, con limitaciones de infraestructura para el desarrollo de proyectos y poca disponibilidad de servicios básicos.</w:t>
            </w:r>
          </w:p>
          <w:p w:rsidR="00672FF2" w:rsidRPr="006F2D81" w:rsidRDefault="00672FF2" w:rsidP="00600A17">
            <w:pPr>
              <w:spacing w:after="0" w:line="240" w:lineRule="auto"/>
              <w:jc w:val="both"/>
              <w:rPr>
                <w:rFonts w:ascii="Arial" w:eastAsia="Times New Roman" w:hAnsi="Arial" w:cs="Arial"/>
                <w:bCs/>
                <w:sz w:val="18"/>
                <w:szCs w:val="18"/>
                <w:lang w:eastAsia="es-CR"/>
              </w:rPr>
            </w:pPr>
            <w:r w:rsidRPr="006F2D81">
              <w:rPr>
                <w:rFonts w:ascii="Arial" w:eastAsia="Times New Roman" w:hAnsi="Arial" w:cs="Arial"/>
                <w:bCs/>
                <w:sz w:val="18"/>
                <w:szCs w:val="18"/>
                <w:lang w:eastAsia="es-CR"/>
              </w:rPr>
              <w:t>- Ubicados en zonas identificadas con potencial de inundación por la Comisión Nacional de Prevención de Riesgos y Atención de Emergencias.</w:t>
            </w:r>
          </w:p>
          <w:p w:rsidR="00672FF2" w:rsidRPr="006F2D81" w:rsidRDefault="00672FF2" w:rsidP="00600A17">
            <w:pPr>
              <w:spacing w:after="0" w:line="240" w:lineRule="auto"/>
              <w:jc w:val="both"/>
              <w:rPr>
                <w:rFonts w:ascii="Arial" w:eastAsia="Times New Roman" w:hAnsi="Arial" w:cs="Arial"/>
                <w:bCs/>
                <w:sz w:val="18"/>
                <w:szCs w:val="18"/>
                <w:lang w:eastAsia="es-CR"/>
              </w:rPr>
            </w:pPr>
            <w:r w:rsidRPr="006F2D81">
              <w:rPr>
                <w:rFonts w:ascii="Arial" w:eastAsia="Times New Roman" w:hAnsi="Arial" w:cs="Arial"/>
                <w:bCs/>
                <w:sz w:val="18"/>
                <w:szCs w:val="18"/>
                <w:lang w:eastAsia="es-CR"/>
              </w:rPr>
              <w:t>- Poca disponibilidad de agua para de los terrenos evaluados en Garabito.</w:t>
            </w:r>
          </w:p>
        </w:tc>
      </w:tr>
      <w:tr w:rsidR="00672FF2" w:rsidRPr="00672FF2" w:rsidTr="002D5BDD">
        <w:trPr>
          <w:trHeight w:val="461"/>
        </w:trPr>
        <w:tc>
          <w:tcPr>
            <w:tcW w:w="2358" w:type="pct"/>
            <w:shd w:val="clear" w:color="auto" w:fill="auto"/>
            <w:hideMark/>
          </w:tcPr>
          <w:p w:rsidR="00672FF2" w:rsidRPr="00672FF2" w:rsidRDefault="00672FF2" w:rsidP="00672FF2">
            <w:pPr>
              <w:rPr>
                <w:rFonts w:ascii="Arial" w:eastAsia="Times New Roman" w:hAnsi="Arial" w:cs="Arial"/>
                <w:b/>
                <w:bCs/>
                <w:color w:val="000000"/>
                <w:sz w:val="20"/>
                <w:szCs w:val="20"/>
                <w:lang w:eastAsia="es-CR"/>
              </w:rPr>
            </w:pPr>
            <w:r w:rsidRPr="00672FF2">
              <w:rPr>
                <w:rFonts w:ascii="Arial" w:eastAsia="Times New Roman" w:hAnsi="Arial" w:cs="Arial"/>
                <w:b/>
                <w:bCs/>
                <w:color w:val="000000"/>
                <w:sz w:val="20"/>
                <w:szCs w:val="20"/>
                <w:lang w:eastAsia="es-CR"/>
              </w:rPr>
              <w:t>c) Medidas correctivas o acciones de mejora (realizadas y por realizar) para el logro de la meta:</w:t>
            </w:r>
          </w:p>
        </w:tc>
        <w:tc>
          <w:tcPr>
            <w:tcW w:w="2642" w:type="pct"/>
            <w:shd w:val="clear" w:color="auto" w:fill="auto"/>
          </w:tcPr>
          <w:p w:rsidR="00672FF2" w:rsidRPr="006F2D81" w:rsidRDefault="00672FF2" w:rsidP="00600A17">
            <w:pPr>
              <w:spacing w:after="0" w:line="240" w:lineRule="auto"/>
              <w:jc w:val="both"/>
              <w:rPr>
                <w:rFonts w:ascii="Arial" w:eastAsia="Times New Roman" w:hAnsi="Arial" w:cs="Arial"/>
                <w:bCs/>
                <w:sz w:val="18"/>
                <w:szCs w:val="18"/>
                <w:lang w:eastAsia="es-CR"/>
              </w:rPr>
            </w:pPr>
            <w:r w:rsidRPr="006F2D81">
              <w:rPr>
                <w:rFonts w:ascii="Arial" w:eastAsia="Times New Roman" w:hAnsi="Arial" w:cs="Arial"/>
                <w:bCs/>
                <w:sz w:val="18"/>
                <w:szCs w:val="18"/>
                <w:lang w:eastAsia="es-CR"/>
              </w:rPr>
              <w:t>Se analizara la posibilidad de realizar adquisiciones de terrenos con menor área y mejor ubicación, con el propósito de aumentar la probabilidad1 de que cuenten con servicios y no posean afectaciones o riesgos.</w:t>
            </w:r>
          </w:p>
        </w:tc>
      </w:tr>
    </w:tbl>
    <w:p w:rsidR="00672FF2" w:rsidRPr="00600A17" w:rsidRDefault="00672FF2" w:rsidP="00672FF2">
      <w:pPr>
        <w:rPr>
          <w:rFonts w:ascii="Arial" w:eastAsia="Times New Roman" w:hAnsi="Arial" w:cs="Arial"/>
          <w:bCs/>
          <w:color w:val="000000"/>
          <w:sz w:val="18"/>
          <w:szCs w:val="18"/>
          <w:lang w:eastAsia="es-CR"/>
        </w:rPr>
      </w:pPr>
      <w:r w:rsidRPr="00600A17">
        <w:rPr>
          <w:rFonts w:ascii="Arial" w:eastAsia="Times New Roman" w:hAnsi="Arial" w:cs="Arial"/>
          <w:bCs/>
          <w:color w:val="000000"/>
          <w:sz w:val="18"/>
          <w:szCs w:val="18"/>
          <w:lang w:eastAsia="es-CR"/>
        </w:rPr>
        <w:t>Nota Fuente: Informe de rendimiento de cuentas de área. (2017)</w:t>
      </w:r>
    </w:p>
    <w:p w:rsidR="00672FF2" w:rsidRPr="00672FF2" w:rsidRDefault="00672FF2" w:rsidP="00672FF2">
      <w:pPr>
        <w:rPr>
          <w:rFonts w:ascii="Arial" w:eastAsia="Times New Roman" w:hAnsi="Arial" w:cs="Arial"/>
          <w:b/>
          <w:bCs/>
          <w:color w:val="000000"/>
          <w:sz w:val="20"/>
          <w:szCs w:val="20"/>
          <w:lang w:eastAsia="es-CR"/>
        </w:rPr>
      </w:pPr>
    </w:p>
    <w:p w:rsidR="00672FF2" w:rsidRPr="00672FF2" w:rsidRDefault="00672FF2" w:rsidP="00866F9E">
      <w:pPr>
        <w:spacing w:after="0" w:line="240" w:lineRule="auto"/>
        <w:jc w:val="both"/>
        <w:rPr>
          <w:rFonts w:ascii="Arial" w:eastAsia="Times New Roman" w:hAnsi="Arial" w:cs="Arial"/>
          <w:b/>
          <w:bCs/>
          <w:color w:val="000000"/>
          <w:sz w:val="20"/>
          <w:szCs w:val="20"/>
          <w:lang w:eastAsia="es-CR"/>
        </w:rPr>
      </w:pPr>
      <w:r w:rsidRPr="00672FF2">
        <w:rPr>
          <w:rFonts w:ascii="Arial" w:eastAsia="Times New Roman" w:hAnsi="Arial" w:cs="Arial"/>
          <w:b/>
          <w:bCs/>
          <w:color w:val="000000"/>
          <w:sz w:val="20"/>
          <w:szCs w:val="20"/>
          <w:lang w:eastAsia="es-CR"/>
        </w:rPr>
        <w:t xml:space="preserve">PROPIEDADES RECTIFICADAS PARA LA VENTA </w:t>
      </w:r>
    </w:p>
    <w:p w:rsidR="00672FF2" w:rsidRPr="00672FF2" w:rsidRDefault="00672FF2" w:rsidP="00866F9E">
      <w:pPr>
        <w:spacing w:after="0" w:line="240" w:lineRule="auto"/>
        <w:jc w:val="both"/>
        <w:rPr>
          <w:rFonts w:ascii="Arial" w:eastAsia="Times New Roman" w:hAnsi="Arial" w:cs="Arial"/>
          <w:b/>
          <w:bCs/>
          <w:color w:val="000000"/>
          <w:sz w:val="20"/>
          <w:szCs w:val="20"/>
          <w:lang w:eastAsia="es-CR"/>
        </w:rPr>
      </w:pPr>
    </w:p>
    <w:p w:rsidR="00672FF2" w:rsidRPr="00672FF2" w:rsidRDefault="00672FF2" w:rsidP="00866F9E">
      <w:pPr>
        <w:spacing w:after="0" w:line="240" w:lineRule="auto"/>
        <w:jc w:val="both"/>
        <w:rPr>
          <w:rFonts w:ascii="Arial" w:eastAsia="Times New Roman" w:hAnsi="Arial" w:cs="Arial"/>
          <w:b/>
          <w:bCs/>
          <w:color w:val="000000"/>
          <w:sz w:val="20"/>
          <w:szCs w:val="20"/>
          <w:lang w:eastAsia="es-CR"/>
        </w:rPr>
      </w:pPr>
      <w:r w:rsidRPr="00672FF2">
        <w:rPr>
          <w:rFonts w:ascii="Arial" w:eastAsia="Times New Roman" w:hAnsi="Arial" w:cs="Arial"/>
          <w:b/>
          <w:bCs/>
          <w:color w:val="000000"/>
          <w:sz w:val="20"/>
          <w:szCs w:val="20"/>
          <w:lang w:eastAsia="es-CR"/>
        </w:rPr>
        <w:t xml:space="preserve">Indicador N°40 Cantidad de propiedades rectificadas para la venta </w:t>
      </w:r>
    </w:p>
    <w:p w:rsidR="00672FF2" w:rsidRPr="00672FF2" w:rsidRDefault="00672FF2" w:rsidP="00866F9E">
      <w:pPr>
        <w:spacing w:after="0" w:line="240" w:lineRule="auto"/>
        <w:jc w:val="both"/>
        <w:rPr>
          <w:rFonts w:ascii="Arial" w:eastAsia="Times New Roman" w:hAnsi="Arial" w:cs="Arial"/>
          <w:b/>
          <w:bCs/>
          <w:color w:val="000000"/>
          <w:sz w:val="20"/>
          <w:szCs w:val="20"/>
          <w:lang w:eastAsia="es-CR"/>
        </w:rPr>
      </w:pPr>
    </w:p>
    <w:p w:rsidR="00672FF2" w:rsidRPr="006F2D81" w:rsidRDefault="00672FF2" w:rsidP="00866F9E">
      <w:pPr>
        <w:spacing w:after="0" w:line="240" w:lineRule="auto"/>
        <w:jc w:val="both"/>
        <w:rPr>
          <w:rFonts w:ascii="Arial" w:eastAsia="Times New Roman" w:hAnsi="Arial" w:cs="Arial"/>
          <w:bCs/>
          <w:color w:val="000000"/>
          <w:sz w:val="20"/>
          <w:szCs w:val="20"/>
          <w:lang w:eastAsia="es-CR"/>
        </w:rPr>
      </w:pPr>
      <w:r w:rsidRPr="006F2D81">
        <w:rPr>
          <w:rFonts w:ascii="Arial" w:eastAsia="Times New Roman" w:hAnsi="Arial" w:cs="Arial"/>
          <w:bCs/>
          <w:color w:val="000000"/>
          <w:sz w:val="20"/>
          <w:szCs w:val="20"/>
          <w:lang w:eastAsia="es-CR"/>
        </w:rPr>
        <w:t>La cantidad de propiedades rectificadas a diciembre fue de 278, ejecución que representa el 70% de la meta programada de 400 propiedades.</w:t>
      </w:r>
    </w:p>
    <w:p w:rsidR="00672FF2" w:rsidRPr="006F2D81" w:rsidRDefault="00672FF2" w:rsidP="00866F9E">
      <w:pPr>
        <w:spacing w:after="0" w:line="240" w:lineRule="auto"/>
        <w:jc w:val="both"/>
        <w:rPr>
          <w:rFonts w:ascii="Arial" w:eastAsia="Times New Roman" w:hAnsi="Arial" w:cs="Arial"/>
          <w:bCs/>
          <w:color w:val="000000"/>
          <w:sz w:val="20"/>
          <w:szCs w:val="20"/>
          <w:lang w:eastAsia="es-CR"/>
        </w:rPr>
      </w:pPr>
    </w:p>
    <w:p w:rsidR="00672FF2" w:rsidRPr="006F2D81" w:rsidRDefault="00672FF2" w:rsidP="00866F9E">
      <w:pPr>
        <w:spacing w:after="0" w:line="240" w:lineRule="auto"/>
        <w:jc w:val="both"/>
        <w:rPr>
          <w:rFonts w:ascii="Arial" w:eastAsia="Times New Roman" w:hAnsi="Arial" w:cs="Arial"/>
          <w:bCs/>
          <w:color w:val="000000"/>
          <w:sz w:val="20"/>
          <w:szCs w:val="20"/>
          <w:lang w:eastAsia="es-CR"/>
        </w:rPr>
      </w:pPr>
    </w:p>
    <w:p w:rsidR="00672FF2" w:rsidRPr="006F2D81" w:rsidRDefault="00672FF2" w:rsidP="00866F9E">
      <w:pPr>
        <w:spacing w:after="0" w:line="240" w:lineRule="auto"/>
        <w:jc w:val="both"/>
        <w:rPr>
          <w:rFonts w:ascii="Arial" w:eastAsia="Times New Roman" w:hAnsi="Arial" w:cs="Arial"/>
          <w:bCs/>
          <w:color w:val="000000"/>
          <w:sz w:val="20"/>
          <w:szCs w:val="20"/>
          <w:lang w:eastAsia="es-CR"/>
        </w:rPr>
      </w:pPr>
      <w:r w:rsidRPr="006F2D81">
        <w:rPr>
          <w:rFonts w:ascii="Arial" w:eastAsia="Times New Roman" w:hAnsi="Arial" w:cs="Arial"/>
          <w:bCs/>
          <w:color w:val="000000"/>
          <w:sz w:val="20"/>
          <w:szCs w:val="20"/>
          <w:lang w:eastAsia="es-CR"/>
        </w:rPr>
        <w:t>Seguidamente se muestra un detalle de lo actuado:</w:t>
      </w:r>
    </w:p>
    <w:p w:rsidR="00672FF2" w:rsidRPr="00672FF2" w:rsidRDefault="00672FF2" w:rsidP="00866F9E">
      <w:pPr>
        <w:spacing w:after="0" w:line="240" w:lineRule="auto"/>
        <w:jc w:val="both"/>
        <w:rPr>
          <w:rFonts w:ascii="Arial" w:eastAsia="Times New Roman" w:hAnsi="Arial" w:cs="Arial"/>
          <w:b/>
          <w:bCs/>
          <w:color w:val="000000"/>
          <w:sz w:val="20"/>
          <w:szCs w:val="20"/>
          <w:lang w:eastAsia="es-CR"/>
        </w:rPr>
      </w:pPr>
    </w:p>
    <w:p w:rsidR="00672FF2" w:rsidRPr="00672FF2" w:rsidRDefault="00672FF2" w:rsidP="00866F9E">
      <w:pPr>
        <w:spacing w:after="0" w:line="240" w:lineRule="auto"/>
        <w:jc w:val="both"/>
        <w:rPr>
          <w:rFonts w:ascii="Arial" w:eastAsia="Times New Roman" w:hAnsi="Arial" w:cs="Arial"/>
          <w:b/>
          <w:bCs/>
          <w:color w:val="000000"/>
          <w:sz w:val="20"/>
          <w:szCs w:val="20"/>
          <w:lang w:eastAsia="es-CR"/>
        </w:rPr>
      </w:pPr>
    </w:p>
    <w:tbl>
      <w:tblPr>
        <w:tblW w:w="9103" w:type="dxa"/>
        <w:tblBorders>
          <w:insideH w:val="single" w:sz="6" w:space="0" w:color="000000"/>
          <w:insideV w:val="single" w:sz="6" w:space="0" w:color="000000"/>
        </w:tblBorders>
        <w:tblLook w:val="04A0" w:firstRow="1" w:lastRow="0" w:firstColumn="1" w:lastColumn="0" w:noHBand="0" w:noVBand="1"/>
      </w:tblPr>
      <w:tblGrid>
        <w:gridCol w:w="4293"/>
        <w:gridCol w:w="4810"/>
      </w:tblGrid>
      <w:tr w:rsidR="00672FF2" w:rsidRPr="00672FF2" w:rsidTr="002D5BDD">
        <w:trPr>
          <w:trHeight w:val="270"/>
        </w:trPr>
        <w:tc>
          <w:tcPr>
            <w:tcW w:w="5000" w:type="pct"/>
            <w:gridSpan w:val="2"/>
            <w:shd w:val="clear" w:color="auto" w:fill="auto"/>
            <w:noWrap/>
            <w:hideMark/>
          </w:tcPr>
          <w:p w:rsidR="00672FF2" w:rsidRPr="00672FF2" w:rsidRDefault="00672FF2" w:rsidP="00866F9E">
            <w:pPr>
              <w:spacing w:after="0" w:line="240" w:lineRule="auto"/>
              <w:jc w:val="center"/>
              <w:rPr>
                <w:rFonts w:ascii="Arial" w:eastAsia="Times New Roman" w:hAnsi="Arial" w:cs="Arial"/>
                <w:b/>
                <w:bCs/>
                <w:color w:val="000000"/>
                <w:sz w:val="20"/>
                <w:szCs w:val="20"/>
                <w:lang w:eastAsia="es-CR"/>
              </w:rPr>
            </w:pPr>
            <w:r w:rsidRPr="00672FF2">
              <w:rPr>
                <w:rFonts w:ascii="Arial" w:eastAsia="Times New Roman" w:hAnsi="Arial" w:cs="Arial"/>
                <w:b/>
                <w:bCs/>
                <w:color w:val="000000"/>
                <w:sz w:val="20"/>
                <w:szCs w:val="20"/>
                <w:lang w:eastAsia="es-CR"/>
              </w:rPr>
              <w:t>Tabla 34 Acciones Realizadas</w:t>
            </w:r>
          </w:p>
        </w:tc>
      </w:tr>
      <w:tr w:rsidR="00672FF2" w:rsidRPr="00672FF2" w:rsidTr="002D5BDD">
        <w:trPr>
          <w:trHeight w:val="825"/>
        </w:trPr>
        <w:tc>
          <w:tcPr>
            <w:tcW w:w="2358" w:type="pct"/>
            <w:shd w:val="clear" w:color="auto" w:fill="auto"/>
            <w:hideMark/>
          </w:tcPr>
          <w:p w:rsidR="00672FF2" w:rsidRPr="00672FF2" w:rsidRDefault="00672FF2" w:rsidP="00866F9E">
            <w:pPr>
              <w:spacing w:after="0" w:line="240" w:lineRule="auto"/>
              <w:jc w:val="both"/>
              <w:rPr>
                <w:rFonts w:ascii="Arial" w:eastAsia="Times New Roman" w:hAnsi="Arial" w:cs="Arial"/>
                <w:b/>
                <w:bCs/>
                <w:color w:val="000000"/>
                <w:sz w:val="20"/>
                <w:szCs w:val="20"/>
                <w:lang w:eastAsia="es-CR"/>
              </w:rPr>
            </w:pPr>
            <w:r w:rsidRPr="00672FF2">
              <w:rPr>
                <w:rFonts w:ascii="Arial" w:eastAsia="Times New Roman" w:hAnsi="Arial" w:cs="Arial"/>
                <w:b/>
                <w:bCs/>
                <w:color w:val="000000"/>
                <w:sz w:val="20"/>
                <w:szCs w:val="20"/>
                <w:lang w:eastAsia="es-CR"/>
              </w:rPr>
              <w:t>a) Actividades realizadas:</w:t>
            </w:r>
          </w:p>
        </w:tc>
        <w:tc>
          <w:tcPr>
            <w:tcW w:w="2642" w:type="pct"/>
            <w:shd w:val="clear" w:color="auto" w:fill="auto"/>
          </w:tcPr>
          <w:p w:rsidR="00672FF2" w:rsidRPr="006F2D81" w:rsidRDefault="00672FF2" w:rsidP="00866F9E">
            <w:pPr>
              <w:spacing w:after="0" w:line="240" w:lineRule="auto"/>
              <w:jc w:val="both"/>
              <w:rPr>
                <w:rFonts w:ascii="Arial" w:eastAsia="Times New Roman" w:hAnsi="Arial" w:cs="Arial"/>
                <w:bCs/>
                <w:color w:val="000000"/>
                <w:sz w:val="20"/>
                <w:szCs w:val="20"/>
                <w:lang w:eastAsia="es-CR"/>
              </w:rPr>
            </w:pPr>
            <w:r w:rsidRPr="006F2D81">
              <w:rPr>
                <w:rFonts w:ascii="Arial" w:eastAsia="Times New Roman" w:hAnsi="Arial" w:cs="Arial"/>
                <w:bCs/>
                <w:color w:val="000000"/>
                <w:sz w:val="20"/>
                <w:szCs w:val="20"/>
                <w:lang w:eastAsia="es-CR"/>
              </w:rPr>
              <w:t>Procedimiento seguido:</w:t>
            </w:r>
          </w:p>
          <w:p w:rsidR="00672FF2" w:rsidRPr="006F2D81" w:rsidRDefault="00672FF2" w:rsidP="00866F9E">
            <w:pPr>
              <w:spacing w:after="0" w:line="240" w:lineRule="auto"/>
              <w:jc w:val="both"/>
              <w:rPr>
                <w:rFonts w:ascii="Arial" w:eastAsia="Times New Roman" w:hAnsi="Arial" w:cs="Arial"/>
                <w:bCs/>
                <w:color w:val="000000"/>
                <w:sz w:val="20"/>
                <w:szCs w:val="20"/>
                <w:lang w:eastAsia="es-CR"/>
              </w:rPr>
            </w:pPr>
            <w:r w:rsidRPr="006F2D81">
              <w:rPr>
                <w:rFonts w:ascii="Arial" w:eastAsia="Times New Roman" w:hAnsi="Arial" w:cs="Arial"/>
                <w:bCs/>
                <w:color w:val="000000"/>
                <w:sz w:val="20"/>
                <w:szCs w:val="20"/>
                <w:lang w:eastAsia="es-CR"/>
              </w:rPr>
              <w:t>- Obtención de  la solicitud de venta de los interesados.</w:t>
            </w:r>
          </w:p>
          <w:p w:rsidR="00672FF2" w:rsidRPr="006F2D81" w:rsidRDefault="00672FF2" w:rsidP="00866F9E">
            <w:pPr>
              <w:spacing w:after="0" w:line="240" w:lineRule="auto"/>
              <w:jc w:val="both"/>
              <w:rPr>
                <w:rFonts w:ascii="Arial" w:eastAsia="Times New Roman" w:hAnsi="Arial" w:cs="Arial"/>
                <w:bCs/>
                <w:color w:val="000000"/>
                <w:sz w:val="20"/>
                <w:szCs w:val="20"/>
                <w:lang w:eastAsia="es-CR"/>
              </w:rPr>
            </w:pPr>
            <w:r w:rsidRPr="006F2D81">
              <w:rPr>
                <w:rFonts w:ascii="Arial" w:eastAsia="Times New Roman" w:hAnsi="Arial" w:cs="Arial"/>
                <w:bCs/>
                <w:color w:val="000000"/>
                <w:sz w:val="20"/>
                <w:szCs w:val="20"/>
                <w:lang w:eastAsia="es-CR"/>
              </w:rPr>
              <w:t>-  Caracterizar la propiedad  según el Listado del Registro Nacional.</w:t>
            </w:r>
          </w:p>
          <w:p w:rsidR="00672FF2" w:rsidRPr="006F2D81" w:rsidRDefault="00672FF2" w:rsidP="00866F9E">
            <w:pPr>
              <w:spacing w:after="0" w:line="240" w:lineRule="auto"/>
              <w:jc w:val="both"/>
              <w:rPr>
                <w:rFonts w:ascii="Arial" w:eastAsia="Times New Roman" w:hAnsi="Arial" w:cs="Arial"/>
                <w:bCs/>
                <w:color w:val="000000"/>
                <w:sz w:val="20"/>
                <w:szCs w:val="20"/>
                <w:lang w:eastAsia="es-CR"/>
              </w:rPr>
            </w:pPr>
            <w:r w:rsidRPr="006F2D81">
              <w:rPr>
                <w:rFonts w:ascii="Arial" w:eastAsia="Times New Roman" w:hAnsi="Arial" w:cs="Arial"/>
                <w:bCs/>
                <w:color w:val="000000"/>
                <w:sz w:val="20"/>
                <w:szCs w:val="20"/>
                <w:lang w:eastAsia="es-CR"/>
              </w:rPr>
              <w:t>- Verificar las características del terreno, mediante una inspección de campo.</w:t>
            </w:r>
          </w:p>
          <w:p w:rsidR="00672FF2" w:rsidRPr="006F2D81" w:rsidRDefault="00672FF2" w:rsidP="00866F9E">
            <w:pPr>
              <w:spacing w:after="0" w:line="240" w:lineRule="auto"/>
              <w:jc w:val="both"/>
              <w:rPr>
                <w:rFonts w:ascii="Arial" w:eastAsia="Times New Roman" w:hAnsi="Arial" w:cs="Arial"/>
                <w:bCs/>
                <w:color w:val="000000"/>
                <w:sz w:val="20"/>
                <w:szCs w:val="20"/>
                <w:lang w:eastAsia="es-CR"/>
              </w:rPr>
            </w:pPr>
            <w:r w:rsidRPr="006F2D81">
              <w:rPr>
                <w:rFonts w:ascii="Arial" w:eastAsia="Times New Roman" w:hAnsi="Arial" w:cs="Arial"/>
                <w:bCs/>
                <w:color w:val="000000"/>
                <w:sz w:val="20"/>
                <w:szCs w:val="20"/>
                <w:lang w:eastAsia="es-CR"/>
              </w:rPr>
              <w:t>- Elaborar el plano catastrado, para rectificar los linderos y el área de la propiedad.</w:t>
            </w:r>
          </w:p>
          <w:p w:rsidR="00672FF2" w:rsidRPr="006F2D81" w:rsidRDefault="00672FF2" w:rsidP="00866F9E">
            <w:pPr>
              <w:spacing w:after="0" w:line="240" w:lineRule="auto"/>
              <w:jc w:val="both"/>
              <w:rPr>
                <w:rFonts w:ascii="Arial" w:eastAsia="Times New Roman" w:hAnsi="Arial" w:cs="Arial"/>
                <w:bCs/>
                <w:color w:val="000000"/>
                <w:sz w:val="20"/>
                <w:szCs w:val="20"/>
                <w:lang w:eastAsia="es-CR"/>
              </w:rPr>
            </w:pPr>
          </w:p>
        </w:tc>
      </w:tr>
      <w:tr w:rsidR="00672FF2" w:rsidRPr="00672FF2" w:rsidTr="002D5BDD">
        <w:trPr>
          <w:trHeight w:val="705"/>
        </w:trPr>
        <w:tc>
          <w:tcPr>
            <w:tcW w:w="2358" w:type="pct"/>
            <w:shd w:val="clear" w:color="auto" w:fill="auto"/>
            <w:hideMark/>
          </w:tcPr>
          <w:p w:rsidR="00672FF2" w:rsidRPr="00672FF2" w:rsidRDefault="00672FF2" w:rsidP="00866F9E">
            <w:pPr>
              <w:spacing w:after="0" w:line="240" w:lineRule="auto"/>
              <w:jc w:val="both"/>
              <w:rPr>
                <w:rFonts w:ascii="Arial" w:eastAsia="Times New Roman" w:hAnsi="Arial" w:cs="Arial"/>
                <w:b/>
                <w:bCs/>
                <w:color w:val="000000"/>
                <w:sz w:val="20"/>
                <w:szCs w:val="20"/>
                <w:lang w:eastAsia="es-CR"/>
              </w:rPr>
            </w:pPr>
            <w:r w:rsidRPr="00672FF2">
              <w:rPr>
                <w:rFonts w:ascii="Arial" w:eastAsia="Times New Roman" w:hAnsi="Arial" w:cs="Arial"/>
                <w:b/>
                <w:bCs/>
                <w:color w:val="000000"/>
                <w:sz w:val="20"/>
                <w:szCs w:val="20"/>
                <w:lang w:eastAsia="es-CR"/>
              </w:rPr>
              <w:t xml:space="preserve">b) Limitaciones: </w:t>
            </w:r>
          </w:p>
          <w:p w:rsidR="00672FF2" w:rsidRPr="00672FF2" w:rsidRDefault="00672FF2" w:rsidP="00866F9E">
            <w:pPr>
              <w:spacing w:after="0" w:line="240" w:lineRule="auto"/>
              <w:jc w:val="both"/>
              <w:rPr>
                <w:rFonts w:ascii="Arial" w:eastAsia="Times New Roman" w:hAnsi="Arial" w:cs="Arial"/>
                <w:b/>
                <w:bCs/>
                <w:color w:val="000000"/>
                <w:sz w:val="20"/>
                <w:szCs w:val="20"/>
                <w:lang w:eastAsia="es-CR"/>
              </w:rPr>
            </w:pPr>
          </w:p>
          <w:p w:rsidR="00672FF2" w:rsidRPr="00672FF2" w:rsidRDefault="00672FF2" w:rsidP="00866F9E">
            <w:pPr>
              <w:spacing w:after="0" w:line="240" w:lineRule="auto"/>
              <w:jc w:val="both"/>
              <w:rPr>
                <w:rFonts w:ascii="Arial" w:eastAsia="Times New Roman" w:hAnsi="Arial" w:cs="Arial"/>
                <w:b/>
                <w:bCs/>
                <w:color w:val="000000"/>
                <w:sz w:val="20"/>
                <w:szCs w:val="20"/>
                <w:lang w:eastAsia="es-CR"/>
              </w:rPr>
            </w:pPr>
          </w:p>
        </w:tc>
        <w:tc>
          <w:tcPr>
            <w:tcW w:w="2642" w:type="pct"/>
            <w:shd w:val="clear" w:color="auto" w:fill="auto"/>
          </w:tcPr>
          <w:p w:rsidR="00672FF2" w:rsidRPr="006F2D81" w:rsidRDefault="00672FF2" w:rsidP="00866F9E">
            <w:pPr>
              <w:spacing w:after="0" w:line="240" w:lineRule="auto"/>
              <w:jc w:val="both"/>
              <w:rPr>
                <w:rFonts w:ascii="Arial" w:eastAsia="Times New Roman" w:hAnsi="Arial" w:cs="Arial"/>
                <w:bCs/>
                <w:color w:val="000000"/>
                <w:sz w:val="20"/>
                <w:szCs w:val="20"/>
                <w:lang w:eastAsia="es-CR"/>
              </w:rPr>
            </w:pPr>
          </w:p>
        </w:tc>
      </w:tr>
      <w:tr w:rsidR="00672FF2" w:rsidRPr="00672FF2" w:rsidTr="002D5BDD">
        <w:trPr>
          <w:trHeight w:val="471"/>
        </w:trPr>
        <w:tc>
          <w:tcPr>
            <w:tcW w:w="2358" w:type="pct"/>
            <w:shd w:val="clear" w:color="auto" w:fill="auto"/>
            <w:hideMark/>
          </w:tcPr>
          <w:p w:rsidR="00672FF2" w:rsidRPr="00672FF2" w:rsidRDefault="00672FF2" w:rsidP="00866F9E">
            <w:pPr>
              <w:spacing w:after="0" w:line="240" w:lineRule="auto"/>
              <w:jc w:val="both"/>
              <w:rPr>
                <w:rFonts w:ascii="Arial" w:eastAsia="Times New Roman" w:hAnsi="Arial" w:cs="Arial"/>
                <w:b/>
                <w:bCs/>
                <w:color w:val="000000"/>
                <w:sz w:val="20"/>
                <w:szCs w:val="20"/>
                <w:lang w:eastAsia="es-CR"/>
              </w:rPr>
            </w:pPr>
            <w:r w:rsidRPr="00672FF2">
              <w:rPr>
                <w:rFonts w:ascii="Arial" w:eastAsia="Times New Roman" w:hAnsi="Arial" w:cs="Arial"/>
                <w:b/>
                <w:bCs/>
                <w:color w:val="000000"/>
                <w:sz w:val="20"/>
                <w:szCs w:val="20"/>
                <w:lang w:eastAsia="es-CR"/>
              </w:rPr>
              <w:t>c) Medidas correctivas o acciones de mejora (realizadas y por realizar) para el logro de la meta:</w:t>
            </w:r>
          </w:p>
          <w:p w:rsidR="00672FF2" w:rsidRPr="00672FF2" w:rsidRDefault="00672FF2" w:rsidP="00866F9E">
            <w:pPr>
              <w:spacing w:after="0" w:line="240" w:lineRule="auto"/>
              <w:jc w:val="both"/>
              <w:rPr>
                <w:rFonts w:ascii="Arial" w:eastAsia="Times New Roman" w:hAnsi="Arial" w:cs="Arial"/>
                <w:b/>
                <w:bCs/>
                <w:color w:val="000000"/>
                <w:sz w:val="20"/>
                <w:szCs w:val="20"/>
                <w:lang w:eastAsia="es-CR"/>
              </w:rPr>
            </w:pPr>
          </w:p>
          <w:p w:rsidR="00672FF2" w:rsidRPr="00672FF2" w:rsidRDefault="00672FF2" w:rsidP="00866F9E">
            <w:pPr>
              <w:spacing w:after="0" w:line="240" w:lineRule="auto"/>
              <w:jc w:val="both"/>
              <w:rPr>
                <w:rFonts w:ascii="Arial" w:eastAsia="Times New Roman" w:hAnsi="Arial" w:cs="Arial"/>
                <w:b/>
                <w:bCs/>
                <w:color w:val="000000"/>
                <w:sz w:val="20"/>
                <w:szCs w:val="20"/>
                <w:lang w:eastAsia="es-CR"/>
              </w:rPr>
            </w:pPr>
          </w:p>
        </w:tc>
        <w:tc>
          <w:tcPr>
            <w:tcW w:w="2642" w:type="pct"/>
            <w:shd w:val="clear" w:color="auto" w:fill="auto"/>
          </w:tcPr>
          <w:p w:rsidR="00672FF2" w:rsidRPr="006F2D81" w:rsidRDefault="00672FF2" w:rsidP="00866F9E">
            <w:pPr>
              <w:spacing w:after="0" w:line="240" w:lineRule="auto"/>
              <w:jc w:val="both"/>
              <w:rPr>
                <w:rFonts w:ascii="Arial" w:eastAsia="Times New Roman" w:hAnsi="Arial" w:cs="Arial"/>
                <w:bCs/>
                <w:color w:val="000000"/>
                <w:sz w:val="20"/>
                <w:szCs w:val="20"/>
                <w:lang w:eastAsia="es-CR"/>
              </w:rPr>
            </w:pPr>
            <w:r w:rsidRPr="006F2D81">
              <w:rPr>
                <w:rFonts w:ascii="Arial" w:eastAsia="Times New Roman" w:hAnsi="Arial" w:cs="Arial"/>
                <w:bCs/>
                <w:color w:val="000000"/>
                <w:sz w:val="20"/>
                <w:szCs w:val="20"/>
                <w:lang w:eastAsia="es-CR"/>
              </w:rPr>
              <w:t xml:space="preserve">- Atención a las familias (demanda) en el sitio del proyectos, para informar sobre la venta de las propiedades y rectificación de las propiedades (si se requiere), con la colaboración de las Asociaciones de desarrollo. </w:t>
            </w:r>
          </w:p>
          <w:p w:rsidR="00672FF2" w:rsidRPr="006F2D81" w:rsidRDefault="00672FF2" w:rsidP="00866F9E">
            <w:pPr>
              <w:spacing w:after="0" w:line="240" w:lineRule="auto"/>
              <w:jc w:val="both"/>
              <w:rPr>
                <w:rFonts w:ascii="Arial" w:eastAsia="Times New Roman" w:hAnsi="Arial" w:cs="Arial"/>
                <w:bCs/>
                <w:color w:val="000000"/>
                <w:sz w:val="20"/>
                <w:szCs w:val="20"/>
                <w:lang w:eastAsia="es-CR"/>
              </w:rPr>
            </w:pPr>
            <w:r w:rsidRPr="006F2D81">
              <w:rPr>
                <w:rFonts w:ascii="Arial" w:eastAsia="Times New Roman" w:hAnsi="Arial" w:cs="Arial"/>
                <w:bCs/>
                <w:color w:val="000000"/>
                <w:sz w:val="20"/>
                <w:szCs w:val="20"/>
                <w:lang w:eastAsia="es-CR"/>
              </w:rPr>
              <w:t>- Mayor coordinación para realizar las inspecciones de campo.</w:t>
            </w:r>
          </w:p>
          <w:p w:rsidR="00672FF2" w:rsidRPr="006F2D81" w:rsidRDefault="00672FF2" w:rsidP="00866F9E">
            <w:pPr>
              <w:spacing w:after="0" w:line="240" w:lineRule="auto"/>
              <w:jc w:val="both"/>
              <w:rPr>
                <w:rFonts w:ascii="Arial" w:eastAsia="Times New Roman" w:hAnsi="Arial" w:cs="Arial"/>
                <w:bCs/>
                <w:color w:val="000000"/>
                <w:sz w:val="20"/>
                <w:szCs w:val="20"/>
                <w:lang w:eastAsia="es-CR"/>
              </w:rPr>
            </w:pPr>
          </w:p>
        </w:tc>
      </w:tr>
      <w:tr w:rsidR="00672FF2" w:rsidRPr="00672FF2" w:rsidTr="002D5BDD">
        <w:trPr>
          <w:trHeight w:val="850"/>
        </w:trPr>
        <w:tc>
          <w:tcPr>
            <w:tcW w:w="2358" w:type="pct"/>
            <w:shd w:val="clear" w:color="auto" w:fill="auto"/>
          </w:tcPr>
          <w:p w:rsidR="00672FF2" w:rsidRPr="00672FF2" w:rsidRDefault="00672FF2" w:rsidP="00866F9E">
            <w:pPr>
              <w:spacing w:after="0" w:line="240" w:lineRule="auto"/>
              <w:jc w:val="both"/>
              <w:rPr>
                <w:rFonts w:ascii="Arial" w:eastAsia="Times New Roman" w:hAnsi="Arial" w:cs="Arial"/>
                <w:b/>
                <w:bCs/>
                <w:color w:val="000000"/>
                <w:sz w:val="20"/>
                <w:szCs w:val="20"/>
                <w:lang w:eastAsia="es-CR"/>
              </w:rPr>
            </w:pPr>
            <w:r w:rsidRPr="00672FF2">
              <w:rPr>
                <w:rFonts w:ascii="Arial" w:eastAsia="Times New Roman" w:hAnsi="Arial" w:cs="Arial"/>
                <w:b/>
                <w:bCs/>
                <w:color w:val="000000"/>
                <w:sz w:val="20"/>
                <w:szCs w:val="20"/>
                <w:lang w:eastAsia="es-CR"/>
              </w:rPr>
              <w:t>Observaciones:</w:t>
            </w:r>
          </w:p>
        </w:tc>
        <w:tc>
          <w:tcPr>
            <w:tcW w:w="2642" w:type="pct"/>
            <w:shd w:val="clear" w:color="auto" w:fill="auto"/>
          </w:tcPr>
          <w:p w:rsidR="00672FF2" w:rsidRPr="00672FF2" w:rsidRDefault="00672FF2" w:rsidP="00866F9E">
            <w:pPr>
              <w:spacing w:after="0" w:line="240" w:lineRule="auto"/>
              <w:jc w:val="both"/>
              <w:rPr>
                <w:rFonts w:ascii="Arial" w:eastAsia="Times New Roman" w:hAnsi="Arial" w:cs="Arial"/>
                <w:b/>
                <w:bCs/>
                <w:color w:val="000000"/>
                <w:sz w:val="20"/>
                <w:szCs w:val="20"/>
                <w:lang w:eastAsia="es-CR"/>
              </w:rPr>
            </w:pPr>
          </w:p>
        </w:tc>
      </w:tr>
    </w:tbl>
    <w:p w:rsidR="00672FF2" w:rsidRPr="00FC7F4D" w:rsidRDefault="00672FF2" w:rsidP="00866F9E">
      <w:pPr>
        <w:spacing w:after="0" w:line="240" w:lineRule="auto"/>
        <w:jc w:val="both"/>
        <w:rPr>
          <w:rFonts w:ascii="Arial" w:eastAsia="Times New Roman" w:hAnsi="Arial" w:cs="Arial"/>
          <w:bCs/>
          <w:color w:val="000000"/>
          <w:sz w:val="18"/>
          <w:szCs w:val="18"/>
          <w:lang w:eastAsia="es-CR"/>
        </w:rPr>
      </w:pPr>
      <w:r w:rsidRPr="00FC7F4D">
        <w:rPr>
          <w:rFonts w:ascii="Arial" w:eastAsia="Times New Roman" w:hAnsi="Arial" w:cs="Arial"/>
          <w:bCs/>
          <w:color w:val="000000"/>
          <w:sz w:val="18"/>
          <w:szCs w:val="18"/>
          <w:lang w:eastAsia="es-CR"/>
        </w:rPr>
        <w:t>Nota Fuente: Informe de rendimiento de cuentas de área. (2017)</w:t>
      </w:r>
    </w:p>
    <w:p w:rsidR="00672FF2" w:rsidRPr="00FC7F4D" w:rsidRDefault="00672FF2" w:rsidP="00866F9E">
      <w:pPr>
        <w:spacing w:after="0" w:line="240" w:lineRule="auto"/>
        <w:jc w:val="both"/>
        <w:rPr>
          <w:rFonts w:ascii="Arial" w:eastAsia="Times New Roman" w:hAnsi="Arial" w:cs="Arial"/>
          <w:bCs/>
          <w:color w:val="000000"/>
          <w:sz w:val="18"/>
          <w:szCs w:val="18"/>
          <w:lang w:eastAsia="es-CR"/>
        </w:rPr>
      </w:pPr>
    </w:p>
    <w:p w:rsidR="00672FF2" w:rsidRPr="00672FF2" w:rsidRDefault="00672FF2" w:rsidP="00866F9E">
      <w:pPr>
        <w:spacing w:after="0" w:line="240" w:lineRule="auto"/>
        <w:jc w:val="both"/>
        <w:rPr>
          <w:rFonts w:ascii="Arial" w:eastAsia="Times New Roman" w:hAnsi="Arial" w:cs="Arial"/>
          <w:b/>
          <w:bCs/>
          <w:color w:val="000000"/>
          <w:sz w:val="20"/>
          <w:szCs w:val="20"/>
          <w:lang w:eastAsia="es-CR"/>
        </w:rPr>
      </w:pPr>
    </w:p>
    <w:p w:rsidR="006F2D81" w:rsidRDefault="00672FF2" w:rsidP="00866F9E">
      <w:pPr>
        <w:spacing w:after="0" w:line="240" w:lineRule="auto"/>
        <w:jc w:val="both"/>
        <w:rPr>
          <w:rFonts w:ascii="Arial" w:eastAsia="Times New Roman" w:hAnsi="Arial" w:cs="Arial"/>
          <w:b/>
          <w:bCs/>
          <w:color w:val="000000"/>
          <w:sz w:val="20"/>
          <w:szCs w:val="20"/>
          <w:lang w:eastAsia="es-CR"/>
        </w:rPr>
      </w:pPr>
      <w:r w:rsidRPr="00672FF2">
        <w:rPr>
          <w:rFonts w:ascii="Arial" w:eastAsia="Times New Roman" w:hAnsi="Arial" w:cs="Arial"/>
          <w:b/>
          <w:bCs/>
          <w:color w:val="000000"/>
          <w:sz w:val="20"/>
          <w:szCs w:val="20"/>
          <w:lang w:eastAsia="es-CR"/>
        </w:rPr>
        <w:t xml:space="preserve"> </w:t>
      </w:r>
      <w:r w:rsidRPr="00672FF2">
        <w:rPr>
          <w:rFonts w:ascii="Arial" w:eastAsia="Times New Roman" w:hAnsi="Arial" w:cs="Arial"/>
          <w:b/>
          <w:bCs/>
          <w:color w:val="000000"/>
          <w:sz w:val="20"/>
          <w:szCs w:val="20"/>
          <w:lang w:eastAsia="es-CR"/>
        </w:rPr>
        <w:br w:type="page"/>
      </w:r>
    </w:p>
    <w:p w:rsidR="006F2D81" w:rsidRDefault="006F2D81" w:rsidP="00866F9E">
      <w:pPr>
        <w:spacing w:after="0" w:line="240" w:lineRule="auto"/>
        <w:jc w:val="both"/>
        <w:rPr>
          <w:rFonts w:ascii="Arial" w:eastAsia="Times New Roman" w:hAnsi="Arial" w:cs="Arial"/>
          <w:b/>
          <w:bCs/>
          <w:color w:val="000000"/>
          <w:sz w:val="20"/>
          <w:szCs w:val="20"/>
          <w:lang w:eastAsia="es-CR"/>
        </w:rPr>
      </w:pPr>
    </w:p>
    <w:p w:rsidR="00672FF2" w:rsidRPr="00672FF2" w:rsidRDefault="00672FF2" w:rsidP="00866F9E">
      <w:pPr>
        <w:spacing w:after="0" w:line="240" w:lineRule="auto"/>
        <w:jc w:val="both"/>
        <w:rPr>
          <w:rFonts w:ascii="Arial" w:eastAsia="Times New Roman" w:hAnsi="Arial" w:cs="Arial"/>
          <w:b/>
          <w:bCs/>
          <w:color w:val="000000"/>
          <w:sz w:val="20"/>
          <w:szCs w:val="20"/>
          <w:lang w:eastAsia="es-CR"/>
        </w:rPr>
      </w:pPr>
      <w:r w:rsidRPr="00672FF2">
        <w:rPr>
          <w:rFonts w:ascii="Arial" w:eastAsia="Times New Roman" w:hAnsi="Arial" w:cs="Arial"/>
          <w:b/>
          <w:bCs/>
          <w:color w:val="000000"/>
          <w:sz w:val="20"/>
          <w:szCs w:val="20"/>
          <w:lang w:eastAsia="es-CR"/>
        </w:rPr>
        <w:t>PROPIEDADES VENDIDAS</w:t>
      </w:r>
    </w:p>
    <w:p w:rsidR="00672FF2" w:rsidRPr="00672FF2" w:rsidRDefault="00672FF2" w:rsidP="00866F9E">
      <w:pPr>
        <w:spacing w:after="0" w:line="240" w:lineRule="auto"/>
        <w:jc w:val="both"/>
        <w:rPr>
          <w:rFonts w:ascii="Arial" w:eastAsia="Times New Roman" w:hAnsi="Arial" w:cs="Arial"/>
          <w:b/>
          <w:bCs/>
          <w:color w:val="000000"/>
          <w:sz w:val="20"/>
          <w:szCs w:val="20"/>
          <w:lang w:eastAsia="es-CR"/>
        </w:rPr>
      </w:pPr>
    </w:p>
    <w:p w:rsidR="00672FF2" w:rsidRPr="00672FF2" w:rsidRDefault="00672FF2" w:rsidP="00866F9E">
      <w:pPr>
        <w:spacing w:after="0" w:line="240" w:lineRule="auto"/>
        <w:jc w:val="both"/>
        <w:rPr>
          <w:rFonts w:ascii="Arial" w:eastAsia="Times New Roman" w:hAnsi="Arial" w:cs="Arial"/>
          <w:b/>
          <w:bCs/>
          <w:color w:val="000000"/>
          <w:sz w:val="20"/>
          <w:szCs w:val="20"/>
          <w:lang w:eastAsia="es-CR"/>
        </w:rPr>
      </w:pPr>
      <w:r w:rsidRPr="00672FF2">
        <w:rPr>
          <w:rFonts w:ascii="Arial" w:eastAsia="Times New Roman" w:hAnsi="Arial" w:cs="Arial"/>
          <w:b/>
          <w:bCs/>
          <w:color w:val="000000"/>
          <w:sz w:val="20"/>
          <w:szCs w:val="20"/>
          <w:lang w:eastAsia="es-CR"/>
        </w:rPr>
        <w:t>Indicador N°41 Monto (millones) de los ingresos recaudados por propiedades vendidas</w:t>
      </w:r>
    </w:p>
    <w:p w:rsidR="00672FF2" w:rsidRPr="00672FF2" w:rsidRDefault="00672FF2" w:rsidP="00866F9E">
      <w:pPr>
        <w:spacing w:after="0" w:line="240" w:lineRule="auto"/>
        <w:jc w:val="both"/>
        <w:rPr>
          <w:rFonts w:ascii="Arial" w:eastAsia="Times New Roman" w:hAnsi="Arial" w:cs="Arial"/>
          <w:b/>
          <w:bCs/>
          <w:color w:val="000000"/>
          <w:sz w:val="20"/>
          <w:szCs w:val="20"/>
          <w:lang w:eastAsia="es-CR"/>
        </w:rPr>
      </w:pPr>
    </w:p>
    <w:p w:rsidR="00672FF2" w:rsidRPr="00866F9E" w:rsidRDefault="00672FF2" w:rsidP="00866F9E">
      <w:pPr>
        <w:spacing w:after="0" w:line="240" w:lineRule="auto"/>
        <w:jc w:val="both"/>
        <w:rPr>
          <w:rFonts w:ascii="Arial" w:eastAsia="Times New Roman" w:hAnsi="Arial" w:cs="Arial"/>
          <w:bCs/>
          <w:color w:val="000000"/>
          <w:sz w:val="20"/>
          <w:szCs w:val="20"/>
          <w:lang w:eastAsia="es-CR"/>
        </w:rPr>
      </w:pPr>
      <w:r w:rsidRPr="00866F9E">
        <w:rPr>
          <w:rFonts w:ascii="Arial" w:eastAsia="Times New Roman" w:hAnsi="Arial" w:cs="Arial"/>
          <w:bCs/>
          <w:color w:val="000000"/>
          <w:sz w:val="20"/>
          <w:szCs w:val="20"/>
          <w:lang w:eastAsia="es-CR"/>
        </w:rPr>
        <w:t xml:space="preserve">El monto recaudado por propiedades vendidas a diciembre fue de ¢389,4 millones, ejecución que representa el 74% de la meta programada por ¢525,0 millones. </w:t>
      </w:r>
    </w:p>
    <w:p w:rsidR="00672FF2" w:rsidRPr="00672FF2" w:rsidRDefault="00672FF2" w:rsidP="00866F9E">
      <w:pPr>
        <w:spacing w:after="0" w:line="240" w:lineRule="auto"/>
        <w:jc w:val="both"/>
        <w:rPr>
          <w:rFonts w:ascii="Arial" w:eastAsia="Times New Roman" w:hAnsi="Arial" w:cs="Arial"/>
          <w:b/>
          <w:bCs/>
          <w:color w:val="000000"/>
          <w:sz w:val="20"/>
          <w:szCs w:val="20"/>
          <w:lang w:eastAsia="es-CR"/>
        </w:rPr>
      </w:pPr>
    </w:p>
    <w:p w:rsidR="00672FF2" w:rsidRPr="00672FF2" w:rsidRDefault="00672FF2" w:rsidP="00866F9E">
      <w:pPr>
        <w:spacing w:after="0" w:line="240" w:lineRule="auto"/>
        <w:jc w:val="both"/>
        <w:rPr>
          <w:rFonts w:ascii="Arial" w:eastAsia="Times New Roman" w:hAnsi="Arial" w:cs="Arial"/>
          <w:b/>
          <w:bCs/>
          <w:color w:val="000000"/>
          <w:sz w:val="20"/>
          <w:szCs w:val="20"/>
          <w:lang w:eastAsia="es-CR"/>
        </w:rPr>
      </w:pPr>
    </w:p>
    <w:p w:rsidR="00672FF2" w:rsidRPr="00672FF2" w:rsidRDefault="00672FF2" w:rsidP="00866F9E">
      <w:pPr>
        <w:spacing w:after="0" w:line="240" w:lineRule="auto"/>
        <w:jc w:val="both"/>
        <w:rPr>
          <w:rFonts w:ascii="Arial" w:eastAsia="Times New Roman" w:hAnsi="Arial" w:cs="Arial"/>
          <w:b/>
          <w:bCs/>
          <w:color w:val="000000"/>
          <w:sz w:val="20"/>
          <w:szCs w:val="20"/>
          <w:lang w:eastAsia="es-CR"/>
        </w:rPr>
      </w:pPr>
      <w:r w:rsidRPr="00672FF2">
        <w:rPr>
          <w:rFonts w:ascii="Arial" w:eastAsia="Times New Roman" w:hAnsi="Arial" w:cs="Arial"/>
          <w:b/>
          <w:bCs/>
          <w:color w:val="000000"/>
          <w:sz w:val="20"/>
          <w:szCs w:val="20"/>
          <w:lang w:eastAsia="es-CR"/>
        </w:rPr>
        <w:t>Seguidamente se muestra un detalle de lo actuado:</w:t>
      </w:r>
    </w:p>
    <w:p w:rsidR="00672FF2" w:rsidRPr="00672FF2" w:rsidRDefault="00672FF2" w:rsidP="00866F9E">
      <w:pPr>
        <w:spacing w:after="0" w:line="240" w:lineRule="auto"/>
        <w:jc w:val="both"/>
        <w:rPr>
          <w:rFonts w:ascii="Arial" w:eastAsia="Times New Roman" w:hAnsi="Arial" w:cs="Arial"/>
          <w:b/>
          <w:bCs/>
          <w:color w:val="000000"/>
          <w:sz w:val="20"/>
          <w:szCs w:val="20"/>
          <w:lang w:eastAsia="es-CR"/>
        </w:rPr>
      </w:pPr>
    </w:p>
    <w:tbl>
      <w:tblPr>
        <w:tblW w:w="9103" w:type="dxa"/>
        <w:tblBorders>
          <w:insideH w:val="single" w:sz="6" w:space="0" w:color="000000"/>
          <w:insideV w:val="single" w:sz="6" w:space="0" w:color="000000"/>
        </w:tblBorders>
        <w:tblLook w:val="04A0" w:firstRow="1" w:lastRow="0" w:firstColumn="1" w:lastColumn="0" w:noHBand="0" w:noVBand="1"/>
      </w:tblPr>
      <w:tblGrid>
        <w:gridCol w:w="4293"/>
        <w:gridCol w:w="4810"/>
      </w:tblGrid>
      <w:tr w:rsidR="00672FF2" w:rsidRPr="00672FF2" w:rsidTr="002D5BDD">
        <w:trPr>
          <w:trHeight w:val="270"/>
        </w:trPr>
        <w:tc>
          <w:tcPr>
            <w:tcW w:w="5000" w:type="pct"/>
            <w:gridSpan w:val="2"/>
            <w:shd w:val="clear" w:color="auto" w:fill="auto"/>
            <w:noWrap/>
            <w:hideMark/>
          </w:tcPr>
          <w:p w:rsidR="00672FF2" w:rsidRPr="00866F9E" w:rsidRDefault="00672FF2" w:rsidP="00866F9E">
            <w:pPr>
              <w:spacing w:after="0" w:line="240" w:lineRule="auto"/>
              <w:jc w:val="center"/>
              <w:rPr>
                <w:rFonts w:ascii="Arial" w:eastAsia="Times New Roman" w:hAnsi="Arial" w:cs="Arial"/>
                <w:b/>
                <w:bCs/>
                <w:color w:val="000000"/>
                <w:sz w:val="20"/>
                <w:szCs w:val="20"/>
                <w:lang w:eastAsia="es-CR"/>
              </w:rPr>
            </w:pPr>
            <w:r w:rsidRPr="00866F9E">
              <w:rPr>
                <w:rFonts w:ascii="Arial" w:eastAsia="Times New Roman" w:hAnsi="Arial" w:cs="Arial"/>
                <w:b/>
                <w:bCs/>
                <w:color w:val="000000"/>
                <w:sz w:val="20"/>
                <w:szCs w:val="20"/>
                <w:lang w:eastAsia="es-CR"/>
              </w:rPr>
              <w:t>Tabla 35 Acciones Realizadas</w:t>
            </w:r>
          </w:p>
        </w:tc>
      </w:tr>
      <w:tr w:rsidR="00672FF2" w:rsidRPr="00866F9E" w:rsidTr="002D5BDD">
        <w:trPr>
          <w:trHeight w:val="825"/>
        </w:trPr>
        <w:tc>
          <w:tcPr>
            <w:tcW w:w="2358" w:type="pct"/>
            <w:shd w:val="clear" w:color="auto" w:fill="auto"/>
            <w:hideMark/>
          </w:tcPr>
          <w:p w:rsidR="00672FF2" w:rsidRPr="00672FF2" w:rsidRDefault="00672FF2" w:rsidP="00866F9E">
            <w:pPr>
              <w:spacing w:after="0" w:line="240" w:lineRule="auto"/>
              <w:jc w:val="both"/>
              <w:rPr>
                <w:rFonts w:ascii="Arial" w:eastAsia="Times New Roman" w:hAnsi="Arial" w:cs="Arial"/>
                <w:b/>
                <w:bCs/>
                <w:color w:val="000000"/>
                <w:sz w:val="20"/>
                <w:szCs w:val="20"/>
                <w:lang w:eastAsia="es-CR"/>
              </w:rPr>
            </w:pPr>
            <w:r w:rsidRPr="00672FF2">
              <w:rPr>
                <w:rFonts w:ascii="Arial" w:eastAsia="Times New Roman" w:hAnsi="Arial" w:cs="Arial"/>
                <w:b/>
                <w:bCs/>
                <w:color w:val="000000"/>
                <w:sz w:val="20"/>
                <w:szCs w:val="20"/>
                <w:lang w:eastAsia="es-CR"/>
              </w:rPr>
              <w:t>a) Actividades realizadas:</w:t>
            </w:r>
          </w:p>
        </w:tc>
        <w:tc>
          <w:tcPr>
            <w:tcW w:w="2642" w:type="pct"/>
            <w:shd w:val="clear" w:color="auto" w:fill="auto"/>
          </w:tcPr>
          <w:p w:rsidR="00672FF2" w:rsidRPr="00866F9E" w:rsidRDefault="00672FF2" w:rsidP="00866F9E">
            <w:pPr>
              <w:spacing w:after="0" w:line="240" w:lineRule="auto"/>
              <w:jc w:val="both"/>
              <w:rPr>
                <w:rFonts w:ascii="Arial" w:eastAsia="Times New Roman" w:hAnsi="Arial" w:cs="Arial"/>
                <w:bCs/>
                <w:color w:val="000000"/>
                <w:sz w:val="20"/>
                <w:szCs w:val="20"/>
                <w:lang w:eastAsia="es-CR"/>
              </w:rPr>
            </w:pPr>
            <w:r w:rsidRPr="00866F9E">
              <w:rPr>
                <w:rFonts w:ascii="Arial" w:eastAsia="Times New Roman" w:hAnsi="Arial" w:cs="Arial"/>
                <w:bCs/>
                <w:color w:val="000000"/>
                <w:sz w:val="20"/>
                <w:szCs w:val="20"/>
                <w:lang w:eastAsia="es-CR"/>
              </w:rPr>
              <w:t>El procedimiento para la venta de propiedades se detalla seguidamente:</w:t>
            </w:r>
          </w:p>
          <w:p w:rsidR="00672FF2" w:rsidRPr="00866F9E" w:rsidRDefault="00672FF2" w:rsidP="00866F9E">
            <w:pPr>
              <w:spacing w:after="0" w:line="240" w:lineRule="auto"/>
              <w:jc w:val="both"/>
              <w:rPr>
                <w:rFonts w:ascii="Arial" w:eastAsia="Times New Roman" w:hAnsi="Arial" w:cs="Arial"/>
                <w:bCs/>
                <w:color w:val="000000"/>
                <w:sz w:val="20"/>
                <w:szCs w:val="20"/>
                <w:lang w:eastAsia="es-CR"/>
              </w:rPr>
            </w:pPr>
          </w:p>
          <w:p w:rsidR="00672FF2" w:rsidRPr="00866F9E" w:rsidRDefault="00672FF2" w:rsidP="00866F9E">
            <w:pPr>
              <w:spacing w:after="0" w:line="240" w:lineRule="auto"/>
              <w:jc w:val="both"/>
              <w:rPr>
                <w:rFonts w:ascii="Arial" w:eastAsia="Times New Roman" w:hAnsi="Arial" w:cs="Arial"/>
                <w:bCs/>
                <w:color w:val="000000"/>
                <w:sz w:val="20"/>
                <w:szCs w:val="20"/>
                <w:lang w:eastAsia="es-CR"/>
              </w:rPr>
            </w:pPr>
            <w:r w:rsidRPr="00866F9E">
              <w:rPr>
                <w:rFonts w:ascii="Arial" w:eastAsia="Times New Roman" w:hAnsi="Arial" w:cs="Arial"/>
                <w:bCs/>
                <w:color w:val="000000"/>
                <w:sz w:val="20"/>
                <w:szCs w:val="20"/>
                <w:lang w:eastAsia="es-CR"/>
              </w:rPr>
              <w:t>Venta por policitación se procede a:</w:t>
            </w:r>
          </w:p>
          <w:p w:rsidR="00672FF2" w:rsidRPr="00866F9E" w:rsidRDefault="00672FF2" w:rsidP="00866F9E">
            <w:pPr>
              <w:spacing w:after="0" w:line="240" w:lineRule="auto"/>
              <w:jc w:val="both"/>
              <w:rPr>
                <w:rFonts w:ascii="Arial" w:eastAsia="Times New Roman" w:hAnsi="Arial" w:cs="Arial"/>
                <w:bCs/>
                <w:color w:val="000000"/>
                <w:sz w:val="20"/>
                <w:szCs w:val="20"/>
                <w:lang w:eastAsia="es-CR"/>
              </w:rPr>
            </w:pPr>
            <w:r w:rsidRPr="00866F9E">
              <w:rPr>
                <w:rFonts w:ascii="Arial" w:eastAsia="Times New Roman" w:hAnsi="Arial" w:cs="Arial"/>
                <w:bCs/>
                <w:color w:val="000000"/>
                <w:sz w:val="20"/>
                <w:szCs w:val="20"/>
                <w:lang w:eastAsia="es-CR"/>
              </w:rPr>
              <w:t>- Seleccionar los terrenos propuestos para la venta.</w:t>
            </w:r>
          </w:p>
          <w:p w:rsidR="00672FF2" w:rsidRPr="00866F9E" w:rsidRDefault="00672FF2" w:rsidP="00866F9E">
            <w:pPr>
              <w:spacing w:after="0" w:line="240" w:lineRule="auto"/>
              <w:jc w:val="both"/>
              <w:rPr>
                <w:rFonts w:ascii="Arial" w:eastAsia="Times New Roman" w:hAnsi="Arial" w:cs="Arial"/>
                <w:bCs/>
                <w:color w:val="000000"/>
                <w:sz w:val="20"/>
                <w:szCs w:val="20"/>
                <w:lang w:eastAsia="es-CR"/>
              </w:rPr>
            </w:pPr>
            <w:r w:rsidRPr="00866F9E">
              <w:rPr>
                <w:rFonts w:ascii="Arial" w:eastAsia="Times New Roman" w:hAnsi="Arial" w:cs="Arial"/>
                <w:bCs/>
                <w:color w:val="000000"/>
                <w:sz w:val="20"/>
                <w:szCs w:val="20"/>
                <w:lang w:eastAsia="es-CR"/>
              </w:rPr>
              <w:t>- Elaborar el avalúo de la propiedad.</w:t>
            </w:r>
          </w:p>
          <w:p w:rsidR="00672FF2" w:rsidRPr="00866F9E" w:rsidRDefault="00672FF2" w:rsidP="00866F9E">
            <w:pPr>
              <w:spacing w:after="0" w:line="240" w:lineRule="auto"/>
              <w:jc w:val="both"/>
              <w:rPr>
                <w:rFonts w:ascii="Arial" w:eastAsia="Times New Roman" w:hAnsi="Arial" w:cs="Arial"/>
                <w:bCs/>
                <w:color w:val="000000"/>
                <w:sz w:val="20"/>
                <w:szCs w:val="20"/>
                <w:lang w:eastAsia="es-CR"/>
              </w:rPr>
            </w:pPr>
            <w:r w:rsidRPr="00866F9E">
              <w:rPr>
                <w:rFonts w:ascii="Arial" w:eastAsia="Times New Roman" w:hAnsi="Arial" w:cs="Arial"/>
                <w:bCs/>
                <w:color w:val="000000"/>
                <w:sz w:val="20"/>
                <w:szCs w:val="20"/>
                <w:lang w:eastAsia="es-CR"/>
              </w:rPr>
              <w:t>- Elaborar el cartel para la venta de propiedades del proyecto (saldos y recuperados) y remite a la jefatura inmediata para revisión y aprobación.</w:t>
            </w:r>
          </w:p>
          <w:p w:rsidR="00672FF2" w:rsidRPr="00866F9E" w:rsidRDefault="00672FF2" w:rsidP="00866F9E">
            <w:pPr>
              <w:spacing w:after="0" w:line="240" w:lineRule="auto"/>
              <w:jc w:val="both"/>
              <w:rPr>
                <w:rFonts w:ascii="Arial" w:eastAsia="Times New Roman" w:hAnsi="Arial" w:cs="Arial"/>
                <w:bCs/>
                <w:color w:val="000000"/>
                <w:sz w:val="20"/>
                <w:szCs w:val="20"/>
                <w:lang w:eastAsia="es-CR"/>
              </w:rPr>
            </w:pPr>
          </w:p>
          <w:p w:rsidR="00672FF2" w:rsidRPr="00866F9E" w:rsidRDefault="00672FF2" w:rsidP="00866F9E">
            <w:pPr>
              <w:spacing w:after="0" w:line="240" w:lineRule="auto"/>
              <w:jc w:val="both"/>
              <w:rPr>
                <w:rFonts w:ascii="Arial" w:eastAsia="Times New Roman" w:hAnsi="Arial" w:cs="Arial"/>
                <w:bCs/>
                <w:color w:val="000000"/>
                <w:sz w:val="20"/>
                <w:szCs w:val="20"/>
                <w:lang w:eastAsia="es-CR"/>
              </w:rPr>
            </w:pPr>
            <w:r w:rsidRPr="00866F9E">
              <w:rPr>
                <w:rFonts w:ascii="Arial" w:eastAsia="Times New Roman" w:hAnsi="Arial" w:cs="Arial"/>
                <w:bCs/>
                <w:color w:val="000000"/>
                <w:sz w:val="20"/>
                <w:szCs w:val="20"/>
                <w:lang w:eastAsia="es-CR"/>
              </w:rPr>
              <w:t>Venta a solicitud de los interesados:</w:t>
            </w:r>
          </w:p>
          <w:p w:rsidR="00672FF2" w:rsidRPr="00866F9E" w:rsidRDefault="00672FF2" w:rsidP="00866F9E">
            <w:pPr>
              <w:spacing w:after="0" w:line="240" w:lineRule="auto"/>
              <w:jc w:val="both"/>
              <w:rPr>
                <w:rFonts w:ascii="Arial" w:eastAsia="Times New Roman" w:hAnsi="Arial" w:cs="Arial"/>
                <w:bCs/>
                <w:color w:val="000000"/>
                <w:sz w:val="20"/>
                <w:szCs w:val="20"/>
                <w:lang w:eastAsia="es-CR"/>
              </w:rPr>
            </w:pPr>
            <w:r w:rsidRPr="00866F9E">
              <w:rPr>
                <w:rFonts w:ascii="Arial" w:eastAsia="Times New Roman" w:hAnsi="Arial" w:cs="Arial"/>
                <w:bCs/>
                <w:color w:val="000000"/>
                <w:sz w:val="20"/>
                <w:szCs w:val="20"/>
                <w:lang w:eastAsia="es-CR"/>
              </w:rPr>
              <w:t>- Recibir la solicitud de servicios, por parte del interesado.</w:t>
            </w:r>
          </w:p>
          <w:p w:rsidR="00672FF2" w:rsidRPr="00866F9E" w:rsidRDefault="00672FF2" w:rsidP="00866F9E">
            <w:pPr>
              <w:spacing w:after="0" w:line="240" w:lineRule="auto"/>
              <w:jc w:val="both"/>
              <w:rPr>
                <w:rFonts w:ascii="Arial" w:eastAsia="Times New Roman" w:hAnsi="Arial" w:cs="Arial"/>
                <w:bCs/>
                <w:color w:val="000000"/>
                <w:sz w:val="20"/>
                <w:szCs w:val="20"/>
                <w:lang w:eastAsia="es-CR"/>
              </w:rPr>
            </w:pPr>
            <w:r w:rsidRPr="00866F9E">
              <w:rPr>
                <w:rFonts w:ascii="Arial" w:eastAsia="Times New Roman" w:hAnsi="Arial" w:cs="Arial"/>
                <w:bCs/>
                <w:color w:val="000000"/>
                <w:sz w:val="20"/>
                <w:szCs w:val="20"/>
                <w:lang w:eastAsia="es-CR"/>
              </w:rPr>
              <w:t>- Revisar el estado de la propiedad: situación registral (para verificar si la propiedad es del INVU) y la ubicación en un proyecto (para definir las condiciones de la venta).</w:t>
            </w:r>
          </w:p>
          <w:p w:rsidR="00672FF2" w:rsidRPr="00866F9E" w:rsidRDefault="00672FF2" w:rsidP="00866F9E">
            <w:pPr>
              <w:spacing w:after="0" w:line="240" w:lineRule="auto"/>
              <w:jc w:val="both"/>
              <w:rPr>
                <w:rFonts w:ascii="Arial" w:eastAsia="Times New Roman" w:hAnsi="Arial" w:cs="Arial"/>
                <w:bCs/>
                <w:color w:val="000000"/>
                <w:sz w:val="20"/>
                <w:szCs w:val="20"/>
                <w:lang w:eastAsia="es-CR"/>
              </w:rPr>
            </w:pPr>
            <w:r w:rsidRPr="00866F9E">
              <w:rPr>
                <w:rFonts w:ascii="Arial" w:eastAsia="Times New Roman" w:hAnsi="Arial" w:cs="Arial"/>
                <w:bCs/>
                <w:color w:val="000000"/>
                <w:sz w:val="20"/>
                <w:szCs w:val="20"/>
                <w:lang w:eastAsia="es-CR"/>
              </w:rPr>
              <w:t>- Verificar las condiciones de la propiedad, la ocupación, por medio de inspección técnica.</w:t>
            </w:r>
          </w:p>
          <w:p w:rsidR="00672FF2" w:rsidRPr="00866F9E" w:rsidRDefault="00672FF2" w:rsidP="00866F9E">
            <w:pPr>
              <w:spacing w:after="0" w:line="240" w:lineRule="auto"/>
              <w:jc w:val="both"/>
              <w:rPr>
                <w:rFonts w:ascii="Arial" w:eastAsia="Times New Roman" w:hAnsi="Arial" w:cs="Arial"/>
                <w:bCs/>
                <w:color w:val="000000"/>
                <w:sz w:val="20"/>
                <w:szCs w:val="20"/>
                <w:lang w:eastAsia="es-CR"/>
              </w:rPr>
            </w:pPr>
            <w:r w:rsidRPr="00866F9E">
              <w:rPr>
                <w:rFonts w:ascii="Arial" w:eastAsia="Times New Roman" w:hAnsi="Arial" w:cs="Arial"/>
                <w:bCs/>
                <w:color w:val="000000"/>
                <w:sz w:val="20"/>
                <w:szCs w:val="20"/>
                <w:lang w:eastAsia="es-CR"/>
              </w:rPr>
              <w:t>- Elaborar el avalúo de la propiedad (cuando procede).</w:t>
            </w:r>
          </w:p>
          <w:p w:rsidR="00672FF2" w:rsidRPr="00866F9E" w:rsidRDefault="00672FF2" w:rsidP="00866F9E">
            <w:pPr>
              <w:spacing w:after="0" w:line="240" w:lineRule="auto"/>
              <w:jc w:val="both"/>
              <w:rPr>
                <w:rFonts w:ascii="Arial" w:eastAsia="Times New Roman" w:hAnsi="Arial" w:cs="Arial"/>
                <w:bCs/>
                <w:color w:val="000000"/>
                <w:sz w:val="20"/>
                <w:szCs w:val="20"/>
                <w:lang w:eastAsia="es-CR"/>
              </w:rPr>
            </w:pPr>
            <w:r w:rsidRPr="00866F9E">
              <w:rPr>
                <w:rFonts w:ascii="Arial" w:eastAsia="Times New Roman" w:hAnsi="Arial" w:cs="Arial"/>
                <w:bCs/>
                <w:color w:val="000000"/>
                <w:sz w:val="20"/>
                <w:szCs w:val="20"/>
                <w:lang w:eastAsia="es-CR"/>
              </w:rPr>
              <w:t>- Solicitar los requisitos de los interesados e información del valor de la propiedad.</w:t>
            </w:r>
          </w:p>
          <w:p w:rsidR="00672FF2" w:rsidRPr="00866F9E" w:rsidRDefault="00672FF2" w:rsidP="00866F9E">
            <w:pPr>
              <w:spacing w:after="0" w:line="240" w:lineRule="auto"/>
              <w:jc w:val="both"/>
              <w:rPr>
                <w:rFonts w:ascii="Arial" w:eastAsia="Times New Roman" w:hAnsi="Arial" w:cs="Arial"/>
                <w:bCs/>
                <w:color w:val="000000"/>
                <w:sz w:val="20"/>
                <w:szCs w:val="20"/>
                <w:lang w:eastAsia="es-CR"/>
              </w:rPr>
            </w:pPr>
            <w:r w:rsidRPr="00866F9E">
              <w:rPr>
                <w:rFonts w:ascii="Arial" w:eastAsia="Times New Roman" w:hAnsi="Arial" w:cs="Arial"/>
                <w:bCs/>
                <w:color w:val="000000"/>
                <w:sz w:val="20"/>
                <w:szCs w:val="20"/>
                <w:lang w:eastAsia="es-CR"/>
              </w:rPr>
              <w:t>- Definir las condiciones del crédito y comunica al interesado.</w:t>
            </w:r>
          </w:p>
          <w:p w:rsidR="00672FF2" w:rsidRPr="00866F9E" w:rsidRDefault="00672FF2" w:rsidP="00866F9E">
            <w:pPr>
              <w:spacing w:after="0" w:line="240" w:lineRule="auto"/>
              <w:jc w:val="both"/>
              <w:rPr>
                <w:rFonts w:ascii="Arial" w:eastAsia="Times New Roman" w:hAnsi="Arial" w:cs="Arial"/>
                <w:bCs/>
                <w:color w:val="000000"/>
                <w:sz w:val="20"/>
                <w:szCs w:val="20"/>
                <w:lang w:eastAsia="es-CR"/>
              </w:rPr>
            </w:pPr>
            <w:r w:rsidRPr="00866F9E">
              <w:rPr>
                <w:rFonts w:ascii="Arial" w:eastAsia="Times New Roman" w:hAnsi="Arial" w:cs="Arial"/>
                <w:bCs/>
                <w:color w:val="000000"/>
                <w:sz w:val="20"/>
                <w:szCs w:val="20"/>
                <w:lang w:eastAsia="es-CR"/>
              </w:rPr>
              <w:t>- Elaborar el recibo para pago de gastos de honorarios, administrativos y plano catastro.</w:t>
            </w:r>
          </w:p>
          <w:p w:rsidR="00672FF2" w:rsidRPr="00866F9E" w:rsidRDefault="00672FF2" w:rsidP="00866F9E">
            <w:pPr>
              <w:spacing w:after="0" w:line="240" w:lineRule="auto"/>
              <w:jc w:val="both"/>
              <w:rPr>
                <w:rFonts w:ascii="Arial" w:eastAsia="Times New Roman" w:hAnsi="Arial" w:cs="Arial"/>
                <w:bCs/>
                <w:color w:val="000000"/>
                <w:sz w:val="20"/>
                <w:szCs w:val="20"/>
                <w:lang w:eastAsia="es-CR"/>
              </w:rPr>
            </w:pPr>
            <w:r w:rsidRPr="00866F9E">
              <w:rPr>
                <w:rFonts w:ascii="Arial" w:eastAsia="Times New Roman" w:hAnsi="Arial" w:cs="Arial"/>
                <w:bCs/>
                <w:color w:val="000000"/>
                <w:sz w:val="20"/>
                <w:szCs w:val="20"/>
                <w:lang w:eastAsia="es-CR"/>
              </w:rPr>
              <w:t>- Trasladar el expediente a notariado, para formalización en escritura.</w:t>
            </w:r>
          </w:p>
          <w:p w:rsidR="00672FF2" w:rsidRPr="00866F9E" w:rsidRDefault="00672FF2" w:rsidP="00866F9E">
            <w:pPr>
              <w:spacing w:after="0" w:line="240" w:lineRule="auto"/>
              <w:jc w:val="both"/>
              <w:rPr>
                <w:rFonts w:ascii="Arial" w:eastAsia="Times New Roman" w:hAnsi="Arial" w:cs="Arial"/>
                <w:bCs/>
                <w:color w:val="000000"/>
                <w:sz w:val="20"/>
                <w:szCs w:val="20"/>
                <w:lang w:eastAsia="es-CR"/>
              </w:rPr>
            </w:pPr>
          </w:p>
        </w:tc>
      </w:tr>
      <w:tr w:rsidR="00672FF2" w:rsidRPr="00866F9E" w:rsidTr="002D5BDD">
        <w:trPr>
          <w:trHeight w:val="264"/>
        </w:trPr>
        <w:tc>
          <w:tcPr>
            <w:tcW w:w="2358" w:type="pct"/>
            <w:shd w:val="clear" w:color="auto" w:fill="auto"/>
            <w:hideMark/>
          </w:tcPr>
          <w:p w:rsidR="00672FF2" w:rsidRPr="00672FF2" w:rsidRDefault="00672FF2" w:rsidP="00866F9E">
            <w:pPr>
              <w:spacing w:after="0" w:line="240" w:lineRule="auto"/>
              <w:jc w:val="both"/>
              <w:rPr>
                <w:rFonts w:ascii="Arial" w:eastAsia="Times New Roman" w:hAnsi="Arial" w:cs="Arial"/>
                <w:b/>
                <w:bCs/>
                <w:color w:val="000000"/>
                <w:sz w:val="20"/>
                <w:szCs w:val="20"/>
                <w:lang w:eastAsia="es-CR"/>
              </w:rPr>
            </w:pPr>
            <w:r w:rsidRPr="00672FF2">
              <w:rPr>
                <w:rFonts w:ascii="Arial" w:eastAsia="Times New Roman" w:hAnsi="Arial" w:cs="Arial"/>
                <w:b/>
                <w:bCs/>
                <w:color w:val="000000"/>
                <w:sz w:val="20"/>
                <w:szCs w:val="20"/>
                <w:lang w:eastAsia="es-CR"/>
              </w:rPr>
              <w:t>b) Limitaciones:</w:t>
            </w:r>
          </w:p>
          <w:p w:rsidR="00672FF2" w:rsidRPr="00672FF2" w:rsidRDefault="00672FF2" w:rsidP="00866F9E">
            <w:pPr>
              <w:spacing w:after="0" w:line="240" w:lineRule="auto"/>
              <w:jc w:val="both"/>
              <w:rPr>
                <w:rFonts w:ascii="Arial" w:eastAsia="Times New Roman" w:hAnsi="Arial" w:cs="Arial"/>
                <w:b/>
                <w:bCs/>
                <w:color w:val="000000"/>
                <w:sz w:val="20"/>
                <w:szCs w:val="20"/>
                <w:lang w:eastAsia="es-CR"/>
              </w:rPr>
            </w:pPr>
          </w:p>
        </w:tc>
        <w:tc>
          <w:tcPr>
            <w:tcW w:w="2642" w:type="pct"/>
            <w:shd w:val="clear" w:color="auto" w:fill="auto"/>
          </w:tcPr>
          <w:p w:rsidR="00672FF2" w:rsidRPr="00866F9E" w:rsidRDefault="00672FF2" w:rsidP="00866F9E">
            <w:pPr>
              <w:spacing w:after="0" w:line="240" w:lineRule="auto"/>
              <w:jc w:val="both"/>
              <w:rPr>
                <w:rFonts w:ascii="Arial" w:eastAsia="Times New Roman" w:hAnsi="Arial" w:cs="Arial"/>
                <w:bCs/>
                <w:color w:val="000000"/>
                <w:sz w:val="20"/>
                <w:szCs w:val="20"/>
                <w:lang w:eastAsia="es-CR"/>
              </w:rPr>
            </w:pPr>
            <w:r w:rsidRPr="00866F9E">
              <w:rPr>
                <w:rFonts w:ascii="Arial" w:eastAsia="Times New Roman" w:hAnsi="Arial" w:cs="Arial"/>
                <w:bCs/>
                <w:color w:val="000000"/>
                <w:sz w:val="20"/>
                <w:szCs w:val="20"/>
                <w:lang w:eastAsia="es-CR"/>
              </w:rPr>
              <w:t>La Institución no cuenta con políticas de financiamiento, que permitan financiar la venta de terrenos, en el caso de las policitaciones.</w:t>
            </w:r>
          </w:p>
          <w:p w:rsidR="00672FF2" w:rsidRPr="00866F9E" w:rsidRDefault="00672FF2" w:rsidP="00866F9E">
            <w:pPr>
              <w:spacing w:after="0" w:line="240" w:lineRule="auto"/>
              <w:jc w:val="both"/>
              <w:rPr>
                <w:rFonts w:ascii="Arial" w:eastAsia="Times New Roman" w:hAnsi="Arial" w:cs="Arial"/>
                <w:bCs/>
                <w:color w:val="000000"/>
                <w:sz w:val="20"/>
                <w:szCs w:val="20"/>
                <w:lang w:eastAsia="es-CR"/>
              </w:rPr>
            </w:pPr>
          </w:p>
        </w:tc>
      </w:tr>
      <w:tr w:rsidR="00672FF2" w:rsidRPr="00866F9E" w:rsidTr="002D5BDD">
        <w:trPr>
          <w:trHeight w:val="471"/>
        </w:trPr>
        <w:tc>
          <w:tcPr>
            <w:tcW w:w="2358" w:type="pct"/>
            <w:shd w:val="clear" w:color="auto" w:fill="auto"/>
            <w:hideMark/>
          </w:tcPr>
          <w:p w:rsidR="00672FF2" w:rsidRPr="00672FF2" w:rsidRDefault="00672FF2" w:rsidP="00866F9E">
            <w:pPr>
              <w:spacing w:after="0" w:line="240" w:lineRule="auto"/>
              <w:jc w:val="both"/>
              <w:rPr>
                <w:rFonts w:ascii="Arial" w:eastAsia="Times New Roman" w:hAnsi="Arial" w:cs="Arial"/>
                <w:b/>
                <w:bCs/>
                <w:color w:val="000000"/>
                <w:sz w:val="20"/>
                <w:szCs w:val="20"/>
                <w:lang w:eastAsia="es-CR"/>
              </w:rPr>
            </w:pPr>
            <w:r w:rsidRPr="00672FF2">
              <w:rPr>
                <w:rFonts w:ascii="Arial" w:eastAsia="Times New Roman" w:hAnsi="Arial" w:cs="Arial"/>
                <w:b/>
                <w:bCs/>
                <w:color w:val="000000"/>
                <w:sz w:val="20"/>
                <w:szCs w:val="20"/>
                <w:lang w:eastAsia="es-CR"/>
              </w:rPr>
              <w:t>c) Medidas correctivas o acciones de mejora (realizadas y por realizar) para el logro de la meta:</w:t>
            </w:r>
          </w:p>
        </w:tc>
        <w:tc>
          <w:tcPr>
            <w:tcW w:w="2642" w:type="pct"/>
            <w:shd w:val="clear" w:color="auto" w:fill="auto"/>
          </w:tcPr>
          <w:p w:rsidR="00672FF2" w:rsidRPr="00866F9E" w:rsidRDefault="00672FF2" w:rsidP="00866F9E">
            <w:pPr>
              <w:spacing w:after="0" w:line="240" w:lineRule="auto"/>
              <w:jc w:val="both"/>
              <w:rPr>
                <w:rFonts w:ascii="Arial" w:eastAsia="Times New Roman" w:hAnsi="Arial" w:cs="Arial"/>
                <w:bCs/>
                <w:color w:val="000000"/>
                <w:sz w:val="20"/>
                <w:szCs w:val="20"/>
                <w:lang w:eastAsia="es-CR"/>
              </w:rPr>
            </w:pPr>
            <w:r w:rsidRPr="00866F9E">
              <w:rPr>
                <w:rFonts w:ascii="Arial" w:eastAsia="Times New Roman" w:hAnsi="Arial" w:cs="Arial"/>
                <w:bCs/>
                <w:color w:val="000000"/>
                <w:sz w:val="20"/>
                <w:szCs w:val="20"/>
                <w:lang w:eastAsia="es-CR"/>
              </w:rPr>
              <w:t>Habilitar en la Policitación la posibilidad de financiar los inmuebles a vender.</w:t>
            </w:r>
          </w:p>
          <w:p w:rsidR="00672FF2" w:rsidRPr="00866F9E" w:rsidRDefault="00672FF2" w:rsidP="00866F9E">
            <w:pPr>
              <w:spacing w:after="0" w:line="240" w:lineRule="auto"/>
              <w:jc w:val="both"/>
              <w:rPr>
                <w:rFonts w:ascii="Arial" w:eastAsia="Times New Roman" w:hAnsi="Arial" w:cs="Arial"/>
                <w:bCs/>
                <w:color w:val="000000"/>
                <w:sz w:val="20"/>
                <w:szCs w:val="20"/>
                <w:lang w:eastAsia="es-CR"/>
              </w:rPr>
            </w:pPr>
          </w:p>
        </w:tc>
      </w:tr>
    </w:tbl>
    <w:p w:rsidR="00672FF2" w:rsidRPr="00672FF2" w:rsidRDefault="00672FF2" w:rsidP="00866F9E">
      <w:pPr>
        <w:spacing w:after="0" w:line="240" w:lineRule="auto"/>
        <w:jc w:val="both"/>
        <w:rPr>
          <w:rFonts w:ascii="Arial" w:eastAsia="Times New Roman" w:hAnsi="Arial" w:cs="Arial"/>
          <w:b/>
          <w:bCs/>
          <w:color w:val="000000"/>
          <w:sz w:val="20"/>
          <w:szCs w:val="20"/>
          <w:lang w:eastAsia="es-CR"/>
        </w:rPr>
      </w:pPr>
    </w:p>
    <w:p w:rsidR="00672FF2" w:rsidRPr="00866F9E" w:rsidRDefault="00672FF2" w:rsidP="00866F9E">
      <w:pPr>
        <w:spacing w:after="0" w:line="240" w:lineRule="auto"/>
        <w:jc w:val="both"/>
        <w:rPr>
          <w:rFonts w:ascii="Arial" w:eastAsia="Times New Roman" w:hAnsi="Arial" w:cs="Arial"/>
          <w:bCs/>
          <w:color w:val="000000"/>
          <w:sz w:val="18"/>
          <w:szCs w:val="18"/>
          <w:lang w:eastAsia="es-CR"/>
        </w:rPr>
      </w:pPr>
      <w:r w:rsidRPr="00866F9E">
        <w:rPr>
          <w:rFonts w:ascii="Arial" w:eastAsia="Times New Roman" w:hAnsi="Arial" w:cs="Arial"/>
          <w:bCs/>
          <w:color w:val="000000"/>
          <w:sz w:val="18"/>
          <w:szCs w:val="18"/>
          <w:lang w:eastAsia="es-CR"/>
        </w:rPr>
        <w:t>Nota Fuente: Informe de rendimiento de cuentas de área. (2017)</w:t>
      </w:r>
    </w:p>
    <w:p w:rsidR="00672FF2" w:rsidRPr="00866F9E" w:rsidRDefault="00672FF2" w:rsidP="00866F9E">
      <w:pPr>
        <w:spacing w:after="0" w:line="240" w:lineRule="auto"/>
        <w:jc w:val="both"/>
        <w:rPr>
          <w:rFonts w:ascii="Arial" w:eastAsia="Times New Roman" w:hAnsi="Arial" w:cs="Arial"/>
          <w:bCs/>
          <w:color w:val="000000"/>
          <w:sz w:val="18"/>
          <w:szCs w:val="18"/>
          <w:lang w:eastAsia="es-CR"/>
        </w:rPr>
      </w:pPr>
    </w:p>
    <w:p w:rsidR="00672FF2" w:rsidRPr="00672FF2" w:rsidRDefault="00672FF2" w:rsidP="00866F9E">
      <w:pPr>
        <w:spacing w:after="0" w:line="240" w:lineRule="auto"/>
        <w:jc w:val="both"/>
        <w:rPr>
          <w:rFonts w:ascii="Arial" w:eastAsia="Times New Roman" w:hAnsi="Arial" w:cs="Arial"/>
          <w:b/>
          <w:bCs/>
          <w:color w:val="000000"/>
          <w:sz w:val="20"/>
          <w:szCs w:val="20"/>
          <w:lang w:eastAsia="es-CR"/>
        </w:rPr>
      </w:pPr>
    </w:p>
    <w:p w:rsidR="00672FF2" w:rsidRPr="00672FF2" w:rsidRDefault="00672FF2" w:rsidP="00866F9E">
      <w:pPr>
        <w:spacing w:after="0" w:line="240" w:lineRule="auto"/>
        <w:jc w:val="both"/>
        <w:rPr>
          <w:rFonts w:ascii="Arial" w:eastAsia="Times New Roman" w:hAnsi="Arial" w:cs="Arial"/>
          <w:b/>
          <w:bCs/>
          <w:color w:val="000000"/>
          <w:sz w:val="20"/>
          <w:szCs w:val="20"/>
          <w:lang w:eastAsia="es-CR"/>
        </w:rPr>
      </w:pPr>
    </w:p>
    <w:p w:rsidR="00672FF2" w:rsidRPr="00672FF2" w:rsidRDefault="00672FF2" w:rsidP="00866F9E">
      <w:pPr>
        <w:spacing w:after="0" w:line="240" w:lineRule="auto"/>
        <w:jc w:val="both"/>
        <w:rPr>
          <w:rFonts w:ascii="Arial" w:eastAsia="Times New Roman" w:hAnsi="Arial" w:cs="Arial"/>
          <w:b/>
          <w:bCs/>
          <w:color w:val="000000"/>
          <w:sz w:val="20"/>
          <w:szCs w:val="20"/>
          <w:lang w:eastAsia="es-CR"/>
        </w:rPr>
      </w:pPr>
      <w:r w:rsidRPr="00672FF2">
        <w:rPr>
          <w:rFonts w:ascii="Arial" w:eastAsia="Times New Roman" w:hAnsi="Arial" w:cs="Arial"/>
          <w:b/>
          <w:bCs/>
          <w:color w:val="000000"/>
          <w:sz w:val="20"/>
          <w:szCs w:val="20"/>
          <w:lang w:eastAsia="es-CR"/>
        </w:rPr>
        <w:t>PROPIEDADES ACTUALIZADAS</w:t>
      </w:r>
    </w:p>
    <w:p w:rsidR="00672FF2" w:rsidRPr="00672FF2" w:rsidRDefault="00672FF2" w:rsidP="00866F9E">
      <w:pPr>
        <w:spacing w:after="0" w:line="240" w:lineRule="auto"/>
        <w:jc w:val="both"/>
        <w:rPr>
          <w:rFonts w:ascii="Arial" w:eastAsia="Times New Roman" w:hAnsi="Arial" w:cs="Arial"/>
          <w:b/>
          <w:bCs/>
          <w:color w:val="000000"/>
          <w:sz w:val="20"/>
          <w:szCs w:val="20"/>
          <w:lang w:eastAsia="es-CR"/>
        </w:rPr>
      </w:pPr>
    </w:p>
    <w:p w:rsidR="00672FF2" w:rsidRPr="00672FF2" w:rsidRDefault="00672FF2" w:rsidP="00866F9E">
      <w:pPr>
        <w:spacing w:after="0" w:line="240" w:lineRule="auto"/>
        <w:jc w:val="both"/>
        <w:rPr>
          <w:rFonts w:ascii="Arial" w:eastAsia="Times New Roman" w:hAnsi="Arial" w:cs="Arial"/>
          <w:b/>
          <w:bCs/>
          <w:color w:val="000000"/>
          <w:sz w:val="20"/>
          <w:szCs w:val="20"/>
          <w:lang w:eastAsia="es-CR"/>
        </w:rPr>
      </w:pPr>
      <w:r w:rsidRPr="00672FF2">
        <w:rPr>
          <w:rFonts w:ascii="Arial" w:eastAsia="Times New Roman" w:hAnsi="Arial" w:cs="Arial"/>
          <w:b/>
          <w:bCs/>
          <w:color w:val="000000"/>
          <w:sz w:val="20"/>
          <w:szCs w:val="20"/>
          <w:lang w:eastAsia="es-CR"/>
        </w:rPr>
        <w:t>Indicador N°42 Número de propiedades actualizadas (depuradas de la lista de la institución y avalúos)</w:t>
      </w:r>
    </w:p>
    <w:p w:rsidR="00672FF2" w:rsidRPr="00672FF2" w:rsidRDefault="00672FF2" w:rsidP="00866F9E">
      <w:pPr>
        <w:spacing w:after="0" w:line="240" w:lineRule="auto"/>
        <w:jc w:val="both"/>
        <w:rPr>
          <w:rFonts w:ascii="Arial" w:eastAsia="Times New Roman" w:hAnsi="Arial" w:cs="Arial"/>
          <w:b/>
          <w:bCs/>
          <w:color w:val="000000"/>
          <w:sz w:val="20"/>
          <w:szCs w:val="20"/>
          <w:lang w:eastAsia="es-CR"/>
        </w:rPr>
      </w:pPr>
    </w:p>
    <w:p w:rsidR="00672FF2" w:rsidRPr="00866F9E" w:rsidRDefault="00672FF2" w:rsidP="00866F9E">
      <w:pPr>
        <w:spacing w:after="0" w:line="240" w:lineRule="auto"/>
        <w:jc w:val="both"/>
        <w:rPr>
          <w:rFonts w:ascii="Arial" w:eastAsia="Times New Roman" w:hAnsi="Arial" w:cs="Arial"/>
          <w:bCs/>
          <w:color w:val="000000"/>
          <w:sz w:val="20"/>
          <w:szCs w:val="20"/>
          <w:lang w:eastAsia="es-CR"/>
        </w:rPr>
      </w:pPr>
      <w:r w:rsidRPr="00866F9E">
        <w:rPr>
          <w:rFonts w:ascii="Arial" w:eastAsia="Times New Roman" w:hAnsi="Arial" w:cs="Arial"/>
          <w:bCs/>
          <w:color w:val="000000"/>
          <w:sz w:val="20"/>
          <w:szCs w:val="20"/>
          <w:lang w:eastAsia="es-CR"/>
        </w:rPr>
        <w:t xml:space="preserve">La cantidad de propiedades actualizadas a diciembre fue de 1.591, ejecución que representa el 159% de la meta anual de 1000 propiedades. </w:t>
      </w:r>
    </w:p>
    <w:p w:rsidR="00672FF2" w:rsidRPr="00866F9E" w:rsidRDefault="00672FF2" w:rsidP="00866F9E">
      <w:pPr>
        <w:spacing w:after="0" w:line="240" w:lineRule="auto"/>
        <w:jc w:val="both"/>
        <w:rPr>
          <w:rFonts w:ascii="Arial" w:eastAsia="Times New Roman" w:hAnsi="Arial" w:cs="Arial"/>
          <w:bCs/>
          <w:color w:val="000000"/>
          <w:sz w:val="20"/>
          <w:szCs w:val="20"/>
          <w:lang w:eastAsia="es-CR"/>
        </w:rPr>
      </w:pPr>
    </w:p>
    <w:p w:rsidR="00672FF2" w:rsidRPr="00866F9E" w:rsidRDefault="00672FF2" w:rsidP="00866F9E">
      <w:pPr>
        <w:spacing w:after="0" w:line="240" w:lineRule="auto"/>
        <w:jc w:val="both"/>
        <w:rPr>
          <w:rFonts w:ascii="Arial" w:eastAsia="Times New Roman" w:hAnsi="Arial" w:cs="Arial"/>
          <w:bCs/>
          <w:color w:val="000000"/>
          <w:sz w:val="20"/>
          <w:szCs w:val="20"/>
          <w:lang w:eastAsia="es-CR"/>
        </w:rPr>
      </w:pPr>
      <w:r w:rsidRPr="00866F9E">
        <w:rPr>
          <w:rFonts w:ascii="Arial" w:eastAsia="Times New Roman" w:hAnsi="Arial" w:cs="Arial"/>
          <w:bCs/>
          <w:color w:val="000000"/>
          <w:sz w:val="20"/>
          <w:szCs w:val="20"/>
          <w:lang w:eastAsia="es-CR"/>
        </w:rPr>
        <w:t>Seguidamente se muestra un detalle de lo actuado:</w:t>
      </w:r>
    </w:p>
    <w:tbl>
      <w:tblPr>
        <w:tblW w:w="5145" w:type="pct"/>
        <w:tblBorders>
          <w:insideH w:val="single" w:sz="6" w:space="0" w:color="000000"/>
          <w:insideV w:val="single" w:sz="6" w:space="0" w:color="000000"/>
        </w:tblBorders>
        <w:tblLook w:val="04A0" w:firstRow="1" w:lastRow="0" w:firstColumn="1" w:lastColumn="0" w:noHBand="0" w:noVBand="1"/>
      </w:tblPr>
      <w:tblGrid>
        <w:gridCol w:w="9319"/>
      </w:tblGrid>
      <w:tr w:rsidR="00672FF2" w:rsidRPr="00672FF2" w:rsidTr="002D5BDD">
        <w:trPr>
          <w:trHeight w:val="315"/>
        </w:trPr>
        <w:tc>
          <w:tcPr>
            <w:tcW w:w="5000" w:type="pct"/>
            <w:shd w:val="clear" w:color="auto" w:fill="auto"/>
            <w:noWrap/>
            <w:hideMark/>
          </w:tcPr>
          <w:p w:rsidR="00672FF2" w:rsidRPr="00672FF2" w:rsidRDefault="00672FF2" w:rsidP="00866F9E">
            <w:pPr>
              <w:spacing w:after="0" w:line="240" w:lineRule="auto"/>
              <w:jc w:val="both"/>
              <w:rPr>
                <w:rFonts w:ascii="Arial" w:eastAsia="Times New Roman" w:hAnsi="Arial" w:cs="Arial"/>
                <w:b/>
                <w:bCs/>
                <w:color w:val="000000"/>
                <w:sz w:val="20"/>
                <w:szCs w:val="20"/>
                <w:lang w:eastAsia="es-CR"/>
              </w:rPr>
            </w:pPr>
          </w:p>
          <w:tbl>
            <w:tblPr>
              <w:tblW w:w="9103" w:type="dxa"/>
              <w:tblBorders>
                <w:insideH w:val="single" w:sz="6" w:space="0" w:color="000000"/>
                <w:insideV w:val="single" w:sz="6" w:space="0" w:color="000000"/>
              </w:tblBorders>
              <w:tblLook w:val="04A0" w:firstRow="1" w:lastRow="0" w:firstColumn="1" w:lastColumn="0" w:noHBand="0" w:noVBand="1"/>
            </w:tblPr>
            <w:tblGrid>
              <w:gridCol w:w="4293"/>
              <w:gridCol w:w="4810"/>
            </w:tblGrid>
            <w:tr w:rsidR="00672FF2" w:rsidRPr="00672FF2" w:rsidTr="002D5BDD">
              <w:trPr>
                <w:trHeight w:val="270"/>
              </w:trPr>
              <w:tc>
                <w:tcPr>
                  <w:tcW w:w="5000" w:type="pct"/>
                  <w:gridSpan w:val="2"/>
                  <w:shd w:val="clear" w:color="auto" w:fill="auto"/>
                  <w:noWrap/>
                  <w:hideMark/>
                </w:tcPr>
                <w:p w:rsidR="00672FF2" w:rsidRPr="00672FF2" w:rsidRDefault="00672FF2" w:rsidP="00866F9E">
                  <w:pPr>
                    <w:spacing w:after="0" w:line="240" w:lineRule="auto"/>
                    <w:jc w:val="center"/>
                    <w:rPr>
                      <w:rFonts w:ascii="Arial" w:eastAsia="Times New Roman" w:hAnsi="Arial" w:cs="Arial"/>
                      <w:b/>
                      <w:bCs/>
                      <w:color w:val="000000"/>
                      <w:sz w:val="20"/>
                      <w:szCs w:val="20"/>
                      <w:lang w:eastAsia="es-CR"/>
                    </w:rPr>
                  </w:pPr>
                  <w:r w:rsidRPr="00672FF2">
                    <w:rPr>
                      <w:rFonts w:ascii="Arial" w:eastAsia="Times New Roman" w:hAnsi="Arial" w:cs="Arial"/>
                      <w:b/>
                      <w:bCs/>
                      <w:color w:val="000000"/>
                      <w:sz w:val="20"/>
                      <w:szCs w:val="20"/>
                      <w:lang w:eastAsia="es-CR"/>
                    </w:rPr>
                    <w:t>Tabla 36 Acciones Realizadas</w:t>
                  </w:r>
                </w:p>
              </w:tc>
            </w:tr>
            <w:tr w:rsidR="00672FF2" w:rsidRPr="00672FF2" w:rsidTr="002D5BDD">
              <w:trPr>
                <w:trHeight w:val="825"/>
              </w:trPr>
              <w:tc>
                <w:tcPr>
                  <w:tcW w:w="2358" w:type="pct"/>
                  <w:shd w:val="clear" w:color="auto" w:fill="auto"/>
                  <w:hideMark/>
                </w:tcPr>
                <w:p w:rsidR="00672FF2" w:rsidRPr="00672FF2" w:rsidRDefault="00672FF2" w:rsidP="00866F9E">
                  <w:pPr>
                    <w:spacing w:after="0" w:line="240" w:lineRule="auto"/>
                    <w:jc w:val="both"/>
                    <w:rPr>
                      <w:rFonts w:ascii="Arial" w:eastAsia="Times New Roman" w:hAnsi="Arial" w:cs="Arial"/>
                      <w:b/>
                      <w:bCs/>
                      <w:color w:val="000000"/>
                      <w:sz w:val="20"/>
                      <w:szCs w:val="20"/>
                      <w:lang w:eastAsia="es-CR"/>
                    </w:rPr>
                  </w:pPr>
                  <w:r w:rsidRPr="00672FF2">
                    <w:rPr>
                      <w:rFonts w:ascii="Arial" w:eastAsia="Times New Roman" w:hAnsi="Arial" w:cs="Arial"/>
                      <w:b/>
                      <w:bCs/>
                      <w:color w:val="000000"/>
                      <w:sz w:val="20"/>
                      <w:szCs w:val="20"/>
                      <w:lang w:eastAsia="es-CR"/>
                    </w:rPr>
                    <w:t>a) Actividades realizadas:</w:t>
                  </w:r>
                </w:p>
              </w:tc>
              <w:tc>
                <w:tcPr>
                  <w:tcW w:w="2642" w:type="pct"/>
                  <w:shd w:val="clear" w:color="auto" w:fill="auto"/>
                </w:tcPr>
                <w:p w:rsidR="00672FF2" w:rsidRPr="00866F9E" w:rsidRDefault="00672FF2" w:rsidP="00866F9E">
                  <w:pPr>
                    <w:spacing w:after="0" w:line="240" w:lineRule="auto"/>
                    <w:jc w:val="both"/>
                    <w:rPr>
                      <w:rFonts w:ascii="Arial" w:eastAsia="Times New Roman" w:hAnsi="Arial" w:cs="Arial"/>
                      <w:bCs/>
                      <w:color w:val="000000"/>
                      <w:sz w:val="20"/>
                      <w:szCs w:val="20"/>
                      <w:lang w:eastAsia="es-CR"/>
                    </w:rPr>
                  </w:pPr>
                  <w:r w:rsidRPr="00866F9E">
                    <w:rPr>
                      <w:rFonts w:ascii="Arial" w:eastAsia="Times New Roman" w:hAnsi="Arial" w:cs="Arial"/>
                      <w:bCs/>
                      <w:color w:val="000000"/>
                      <w:sz w:val="20"/>
                      <w:szCs w:val="20"/>
                      <w:lang w:eastAsia="es-CR"/>
                    </w:rPr>
                    <w:t>El procedimiento seguido para actualizar las propiedades es el siguiente:</w:t>
                  </w:r>
                </w:p>
                <w:p w:rsidR="00672FF2" w:rsidRPr="00866F9E" w:rsidRDefault="00672FF2" w:rsidP="00866F9E">
                  <w:pPr>
                    <w:spacing w:after="0" w:line="240" w:lineRule="auto"/>
                    <w:jc w:val="both"/>
                    <w:rPr>
                      <w:rFonts w:ascii="Arial" w:eastAsia="Times New Roman" w:hAnsi="Arial" w:cs="Arial"/>
                      <w:bCs/>
                      <w:color w:val="000000"/>
                      <w:sz w:val="20"/>
                      <w:szCs w:val="20"/>
                      <w:lang w:eastAsia="es-CR"/>
                    </w:rPr>
                  </w:pPr>
                  <w:r w:rsidRPr="00866F9E">
                    <w:rPr>
                      <w:rFonts w:ascii="Arial" w:eastAsia="Times New Roman" w:hAnsi="Arial" w:cs="Arial"/>
                      <w:bCs/>
                      <w:color w:val="000000"/>
                      <w:sz w:val="20"/>
                      <w:szCs w:val="20"/>
                      <w:lang w:eastAsia="es-CR"/>
                    </w:rPr>
                    <w:t xml:space="preserve">- Verificar las características (plano, N° finca, lote, ubicación, área, naturaleza, entre otras) de las propiedades, registradas en el Registro Nacional, correspondan con la información que tiene el INVU. Para ello se consulta en la página del Registro si existen anotaciones, gravámenes, plano catastrado o doble inmatriculación y errores de </w:t>
                  </w:r>
                  <w:r w:rsidR="006F2D81" w:rsidRPr="00866F9E">
                    <w:rPr>
                      <w:rFonts w:ascii="Arial" w:eastAsia="Times New Roman" w:hAnsi="Arial" w:cs="Arial"/>
                      <w:bCs/>
                      <w:color w:val="000000"/>
                      <w:sz w:val="20"/>
                      <w:szCs w:val="20"/>
                      <w:lang w:eastAsia="es-CR"/>
                    </w:rPr>
                    <w:t>ubicación</w:t>
                  </w:r>
                  <w:r w:rsidRPr="00866F9E">
                    <w:rPr>
                      <w:rFonts w:ascii="Arial" w:eastAsia="Times New Roman" w:hAnsi="Arial" w:cs="Arial"/>
                      <w:bCs/>
                      <w:color w:val="000000"/>
                      <w:sz w:val="20"/>
                      <w:szCs w:val="20"/>
                      <w:lang w:eastAsia="es-CR"/>
                    </w:rPr>
                    <w:t>.</w:t>
                  </w:r>
                </w:p>
                <w:p w:rsidR="00672FF2" w:rsidRPr="00866F9E" w:rsidRDefault="00672FF2" w:rsidP="00866F9E">
                  <w:pPr>
                    <w:spacing w:after="0" w:line="240" w:lineRule="auto"/>
                    <w:jc w:val="both"/>
                    <w:rPr>
                      <w:rFonts w:ascii="Arial" w:eastAsia="Times New Roman" w:hAnsi="Arial" w:cs="Arial"/>
                      <w:bCs/>
                      <w:color w:val="000000"/>
                      <w:sz w:val="20"/>
                      <w:szCs w:val="20"/>
                      <w:lang w:eastAsia="es-CR"/>
                    </w:rPr>
                  </w:pPr>
                  <w:r w:rsidRPr="00866F9E">
                    <w:rPr>
                      <w:rFonts w:ascii="Arial" w:eastAsia="Times New Roman" w:hAnsi="Arial" w:cs="Arial"/>
                      <w:bCs/>
                      <w:color w:val="000000"/>
                      <w:sz w:val="20"/>
                      <w:szCs w:val="20"/>
                      <w:lang w:eastAsia="es-CR"/>
                    </w:rPr>
                    <w:t>- Cuando la propiedad presenta defectos en la escritura, solicitar a la notaria institucional la corrección o registro de las características de la propiedad.</w:t>
                  </w:r>
                </w:p>
                <w:p w:rsidR="00672FF2" w:rsidRPr="00866F9E" w:rsidRDefault="00672FF2" w:rsidP="00866F9E">
                  <w:pPr>
                    <w:spacing w:after="0" w:line="240" w:lineRule="auto"/>
                    <w:jc w:val="both"/>
                    <w:rPr>
                      <w:rFonts w:ascii="Arial" w:eastAsia="Times New Roman" w:hAnsi="Arial" w:cs="Arial"/>
                      <w:bCs/>
                      <w:color w:val="000000"/>
                      <w:sz w:val="20"/>
                      <w:szCs w:val="20"/>
                      <w:lang w:eastAsia="es-CR"/>
                    </w:rPr>
                  </w:pPr>
                  <w:r w:rsidRPr="00866F9E">
                    <w:rPr>
                      <w:rFonts w:ascii="Arial" w:eastAsia="Times New Roman" w:hAnsi="Arial" w:cs="Arial"/>
                      <w:bCs/>
                      <w:color w:val="000000"/>
                      <w:sz w:val="20"/>
                      <w:szCs w:val="20"/>
                      <w:lang w:eastAsia="es-CR"/>
                    </w:rPr>
                    <w:t>- Cuando la propiedad cuenta con anotaciones o gravámenes de tipo judicial, remitir el caso a la Asesoría Legal, para estudio y recomendaciones.</w:t>
                  </w:r>
                </w:p>
                <w:p w:rsidR="00672FF2" w:rsidRPr="00866F9E" w:rsidRDefault="00672FF2" w:rsidP="00866F9E">
                  <w:pPr>
                    <w:spacing w:after="0" w:line="240" w:lineRule="auto"/>
                    <w:jc w:val="both"/>
                    <w:rPr>
                      <w:rFonts w:ascii="Arial" w:eastAsia="Times New Roman" w:hAnsi="Arial" w:cs="Arial"/>
                      <w:bCs/>
                      <w:color w:val="000000"/>
                      <w:sz w:val="20"/>
                      <w:szCs w:val="20"/>
                      <w:lang w:eastAsia="es-CR"/>
                    </w:rPr>
                  </w:pPr>
                  <w:r w:rsidRPr="00866F9E">
                    <w:rPr>
                      <w:rFonts w:ascii="Arial" w:eastAsia="Times New Roman" w:hAnsi="Arial" w:cs="Arial"/>
                      <w:bCs/>
                      <w:color w:val="000000"/>
                      <w:sz w:val="20"/>
                      <w:szCs w:val="20"/>
                      <w:lang w:eastAsia="es-CR"/>
                    </w:rPr>
                    <w:t>- Si no tiene anotaciones o gravámenes, actualizar el inventario de terrenos y eliminar las propiedades que ya no son propiedad del INVU, por motivo de venta, titulación o traspaso a alguna municipalidad.</w:t>
                  </w:r>
                </w:p>
                <w:p w:rsidR="00672FF2" w:rsidRPr="00866F9E" w:rsidRDefault="00672FF2" w:rsidP="00866F9E">
                  <w:pPr>
                    <w:spacing w:after="0" w:line="240" w:lineRule="auto"/>
                    <w:jc w:val="both"/>
                    <w:rPr>
                      <w:rFonts w:ascii="Arial" w:eastAsia="Times New Roman" w:hAnsi="Arial" w:cs="Arial"/>
                      <w:bCs/>
                      <w:color w:val="000000"/>
                      <w:sz w:val="20"/>
                      <w:szCs w:val="20"/>
                      <w:lang w:eastAsia="es-CR"/>
                    </w:rPr>
                  </w:pPr>
                  <w:r w:rsidRPr="00866F9E">
                    <w:rPr>
                      <w:rFonts w:ascii="Arial" w:eastAsia="Times New Roman" w:hAnsi="Arial" w:cs="Arial"/>
                      <w:bCs/>
                      <w:color w:val="000000"/>
                      <w:sz w:val="20"/>
                      <w:szCs w:val="20"/>
                      <w:lang w:eastAsia="es-CR"/>
                    </w:rPr>
                    <w:t>- Anotar en el listado de propiedades la situación registral y administrativa de la propiedad (traspaso, arriendo y adjudicados).</w:t>
                  </w:r>
                </w:p>
                <w:p w:rsidR="00672FF2" w:rsidRPr="00866F9E" w:rsidRDefault="00672FF2" w:rsidP="00866F9E">
                  <w:pPr>
                    <w:spacing w:after="0" w:line="240" w:lineRule="auto"/>
                    <w:jc w:val="both"/>
                    <w:rPr>
                      <w:rFonts w:ascii="Arial" w:eastAsia="Times New Roman" w:hAnsi="Arial" w:cs="Arial"/>
                      <w:bCs/>
                      <w:color w:val="000000"/>
                      <w:sz w:val="20"/>
                      <w:szCs w:val="20"/>
                      <w:lang w:eastAsia="es-CR"/>
                    </w:rPr>
                  </w:pPr>
                </w:p>
              </w:tc>
            </w:tr>
            <w:tr w:rsidR="00672FF2" w:rsidRPr="00672FF2" w:rsidTr="002D5BDD">
              <w:trPr>
                <w:trHeight w:val="705"/>
              </w:trPr>
              <w:tc>
                <w:tcPr>
                  <w:tcW w:w="2358" w:type="pct"/>
                  <w:shd w:val="clear" w:color="auto" w:fill="auto"/>
                  <w:hideMark/>
                </w:tcPr>
                <w:p w:rsidR="00672FF2" w:rsidRPr="00672FF2" w:rsidRDefault="00672FF2" w:rsidP="00866F9E">
                  <w:pPr>
                    <w:spacing w:after="0" w:line="240" w:lineRule="auto"/>
                    <w:jc w:val="both"/>
                    <w:rPr>
                      <w:rFonts w:ascii="Arial" w:eastAsia="Times New Roman" w:hAnsi="Arial" w:cs="Arial"/>
                      <w:b/>
                      <w:bCs/>
                      <w:color w:val="000000"/>
                      <w:sz w:val="20"/>
                      <w:szCs w:val="20"/>
                      <w:lang w:eastAsia="es-CR"/>
                    </w:rPr>
                  </w:pPr>
                  <w:r w:rsidRPr="00672FF2">
                    <w:rPr>
                      <w:rFonts w:ascii="Arial" w:eastAsia="Times New Roman" w:hAnsi="Arial" w:cs="Arial"/>
                      <w:b/>
                      <w:bCs/>
                      <w:color w:val="000000"/>
                      <w:sz w:val="20"/>
                      <w:szCs w:val="20"/>
                      <w:lang w:eastAsia="es-CR"/>
                    </w:rPr>
                    <w:t xml:space="preserve">b) Limitaciones: </w:t>
                  </w:r>
                </w:p>
              </w:tc>
              <w:tc>
                <w:tcPr>
                  <w:tcW w:w="2642" w:type="pct"/>
                  <w:shd w:val="clear" w:color="auto" w:fill="auto"/>
                </w:tcPr>
                <w:p w:rsidR="00672FF2" w:rsidRPr="00866F9E" w:rsidRDefault="00672FF2" w:rsidP="00866F9E">
                  <w:pPr>
                    <w:spacing w:after="0" w:line="240" w:lineRule="auto"/>
                    <w:jc w:val="both"/>
                    <w:rPr>
                      <w:rFonts w:ascii="Arial" w:eastAsia="Times New Roman" w:hAnsi="Arial" w:cs="Arial"/>
                      <w:bCs/>
                      <w:color w:val="000000"/>
                      <w:sz w:val="20"/>
                      <w:szCs w:val="20"/>
                      <w:lang w:eastAsia="es-CR"/>
                    </w:rPr>
                  </w:pPr>
                </w:p>
                <w:p w:rsidR="00672FF2" w:rsidRPr="00866F9E" w:rsidRDefault="00672FF2" w:rsidP="00866F9E">
                  <w:pPr>
                    <w:spacing w:after="0" w:line="240" w:lineRule="auto"/>
                    <w:jc w:val="both"/>
                    <w:rPr>
                      <w:rFonts w:ascii="Arial" w:eastAsia="Times New Roman" w:hAnsi="Arial" w:cs="Arial"/>
                      <w:bCs/>
                      <w:color w:val="000000"/>
                      <w:sz w:val="20"/>
                      <w:szCs w:val="20"/>
                      <w:lang w:eastAsia="es-CR"/>
                    </w:rPr>
                  </w:pPr>
                </w:p>
              </w:tc>
            </w:tr>
            <w:tr w:rsidR="00672FF2" w:rsidRPr="00672FF2" w:rsidTr="002D5BDD">
              <w:trPr>
                <w:trHeight w:val="471"/>
              </w:trPr>
              <w:tc>
                <w:tcPr>
                  <w:tcW w:w="2358" w:type="pct"/>
                  <w:shd w:val="clear" w:color="auto" w:fill="auto"/>
                  <w:hideMark/>
                </w:tcPr>
                <w:p w:rsidR="00672FF2" w:rsidRPr="00672FF2" w:rsidRDefault="00672FF2" w:rsidP="00866F9E">
                  <w:pPr>
                    <w:spacing w:after="0" w:line="240" w:lineRule="auto"/>
                    <w:jc w:val="both"/>
                    <w:rPr>
                      <w:rFonts w:ascii="Arial" w:eastAsia="Times New Roman" w:hAnsi="Arial" w:cs="Arial"/>
                      <w:b/>
                      <w:bCs/>
                      <w:color w:val="000000"/>
                      <w:sz w:val="20"/>
                      <w:szCs w:val="20"/>
                      <w:lang w:eastAsia="es-CR"/>
                    </w:rPr>
                  </w:pPr>
                  <w:r w:rsidRPr="00672FF2">
                    <w:rPr>
                      <w:rFonts w:ascii="Arial" w:eastAsia="Times New Roman" w:hAnsi="Arial" w:cs="Arial"/>
                      <w:b/>
                      <w:bCs/>
                      <w:color w:val="000000"/>
                      <w:sz w:val="20"/>
                      <w:szCs w:val="20"/>
                      <w:lang w:eastAsia="es-CR"/>
                    </w:rPr>
                    <w:t>c) Medidas correctivas o acciones de mejora (realizadas y por realizar) para el logro de la meta:</w:t>
                  </w:r>
                </w:p>
                <w:p w:rsidR="00672FF2" w:rsidRPr="00672FF2" w:rsidRDefault="00672FF2" w:rsidP="00866F9E">
                  <w:pPr>
                    <w:spacing w:after="0" w:line="240" w:lineRule="auto"/>
                    <w:jc w:val="both"/>
                    <w:rPr>
                      <w:rFonts w:ascii="Arial" w:eastAsia="Times New Roman" w:hAnsi="Arial" w:cs="Arial"/>
                      <w:b/>
                      <w:bCs/>
                      <w:color w:val="000000"/>
                      <w:sz w:val="20"/>
                      <w:szCs w:val="20"/>
                      <w:lang w:eastAsia="es-CR"/>
                    </w:rPr>
                  </w:pPr>
                </w:p>
              </w:tc>
              <w:tc>
                <w:tcPr>
                  <w:tcW w:w="2642" w:type="pct"/>
                  <w:shd w:val="clear" w:color="auto" w:fill="auto"/>
                </w:tcPr>
                <w:p w:rsidR="00672FF2" w:rsidRPr="00866F9E" w:rsidRDefault="00672FF2" w:rsidP="00866F9E">
                  <w:pPr>
                    <w:spacing w:after="0" w:line="240" w:lineRule="auto"/>
                    <w:jc w:val="both"/>
                    <w:rPr>
                      <w:rFonts w:ascii="Arial" w:eastAsia="Times New Roman" w:hAnsi="Arial" w:cs="Arial"/>
                      <w:bCs/>
                      <w:color w:val="000000"/>
                      <w:sz w:val="20"/>
                      <w:szCs w:val="20"/>
                      <w:lang w:eastAsia="es-CR"/>
                    </w:rPr>
                  </w:pPr>
                  <w:r w:rsidRPr="00866F9E">
                    <w:rPr>
                      <w:rFonts w:ascii="Arial" w:eastAsia="Times New Roman" w:hAnsi="Arial" w:cs="Arial"/>
                      <w:bCs/>
                      <w:color w:val="000000"/>
                      <w:sz w:val="20"/>
                      <w:szCs w:val="20"/>
                      <w:lang w:eastAsia="es-CR"/>
                    </w:rPr>
                    <w:t>Coordinación con otras unidades para el suministro de información, sobre la formalización de las propiedades del INVU.</w:t>
                  </w:r>
                </w:p>
              </w:tc>
            </w:tr>
            <w:tr w:rsidR="00672FF2" w:rsidRPr="00672FF2" w:rsidTr="002D5BDD">
              <w:trPr>
                <w:trHeight w:val="850"/>
              </w:trPr>
              <w:tc>
                <w:tcPr>
                  <w:tcW w:w="2358" w:type="pct"/>
                  <w:shd w:val="clear" w:color="auto" w:fill="auto"/>
                </w:tcPr>
                <w:p w:rsidR="00672FF2" w:rsidRPr="00672FF2" w:rsidRDefault="00672FF2" w:rsidP="00866F9E">
                  <w:pPr>
                    <w:spacing w:after="0" w:line="240" w:lineRule="auto"/>
                    <w:jc w:val="both"/>
                    <w:rPr>
                      <w:rFonts w:ascii="Arial" w:eastAsia="Times New Roman" w:hAnsi="Arial" w:cs="Arial"/>
                      <w:b/>
                      <w:bCs/>
                      <w:color w:val="000000"/>
                      <w:sz w:val="20"/>
                      <w:szCs w:val="20"/>
                      <w:lang w:eastAsia="es-CR"/>
                    </w:rPr>
                  </w:pPr>
                  <w:r w:rsidRPr="00672FF2">
                    <w:rPr>
                      <w:rFonts w:ascii="Arial" w:eastAsia="Times New Roman" w:hAnsi="Arial" w:cs="Arial"/>
                      <w:b/>
                      <w:bCs/>
                      <w:color w:val="000000"/>
                      <w:sz w:val="20"/>
                      <w:szCs w:val="20"/>
                      <w:lang w:eastAsia="es-CR"/>
                    </w:rPr>
                    <w:t>Observaciones:</w:t>
                  </w:r>
                </w:p>
              </w:tc>
              <w:tc>
                <w:tcPr>
                  <w:tcW w:w="2642" w:type="pct"/>
                  <w:shd w:val="clear" w:color="auto" w:fill="auto"/>
                </w:tcPr>
                <w:p w:rsidR="00672FF2" w:rsidRPr="00672FF2" w:rsidRDefault="00672FF2" w:rsidP="00866F9E">
                  <w:pPr>
                    <w:spacing w:after="0" w:line="240" w:lineRule="auto"/>
                    <w:jc w:val="both"/>
                    <w:rPr>
                      <w:rFonts w:ascii="Arial" w:eastAsia="Times New Roman" w:hAnsi="Arial" w:cs="Arial"/>
                      <w:b/>
                      <w:bCs/>
                      <w:color w:val="000000"/>
                      <w:sz w:val="20"/>
                      <w:szCs w:val="20"/>
                      <w:lang w:eastAsia="es-CR"/>
                    </w:rPr>
                  </w:pPr>
                </w:p>
              </w:tc>
            </w:tr>
          </w:tbl>
          <w:p w:rsidR="00672FF2" w:rsidRPr="00672FF2" w:rsidRDefault="00672FF2" w:rsidP="00FC7F4D">
            <w:pPr>
              <w:spacing w:after="0" w:line="240" w:lineRule="auto"/>
              <w:jc w:val="both"/>
              <w:rPr>
                <w:rFonts w:ascii="Arial" w:eastAsia="Times New Roman" w:hAnsi="Arial" w:cs="Arial"/>
                <w:b/>
                <w:bCs/>
                <w:color w:val="000000"/>
                <w:sz w:val="20"/>
                <w:szCs w:val="20"/>
                <w:lang w:eastAsia="es-CR"/>
              </w:rPr>
            </w:pPr>
            <w:r w:rsidRPr="00866F9E">
              <w:rPr>
                <w:rFonts w:ascii="Arial" w:eastAsia="Times New Roman" w:hAnsi="Arial" w:cs="Arial"/>
                <w:bCs/>
                <w:color w:val="000000"/>
                <w:sz w:val="18"/>
                <w:szCs w:val="18"/>
                <w:lang w:eastAsia="es-CR"/>
              </w:rPr>
              <w:t>Nota Fuente: Informe de rendimiento de cuentas de área. (2017)</w:t>
            </w:r>
          </w:p>
        </w:tc>
      </w:tr>
    </w:tbl>
    <w:p w:rsidR="00672FF2" w:rsidRPr="00672FF2" w:rsidRDefault="00672FF2" w:rsidP="00866F9E">
      <w:pPr>
        <w:spacing w:after="0" w:line="240" w:lineRule="auto"/>
        <w:jc w:val="both"/>
        <w:rPr>
          <w:rFonts w:ascii="Arial" w:eastAsia="Times New Roman" w:hAnsi="Arial" w:cs="Arial"/>
          <w:b/>
          <w:bCs/>
          <w:color w:val="000000"/>
          <w:sz w:val="20"/>
          <w:szCs w:val="20"/>
          <w:lang w:eastAsia="es-CR"/>
        </w:rPr>
      </w:pPr>
    </w:p>
    <w:p w:rsidR="00672FF2" w:rsidRPr="00672FF2" w:rsidRDefault="00672FF2" w:rsidP="00866F9E">
      <w:pPr>
        <w:spacing w:after="0" w:line="240" w:lineRule="auto"/>
        <w:jc w:val="both"/>
        <w:rPr>
          <w:rFonts w:ascii="Arial" w:eastAsia="Times New Roman" w:hAnsi="Arial" w:cs="Arial"/>
          <w:b/>
          <w:bCs/>
          <w:color w:val="000000"/>
          <w:sz w:val="20"/>
          <w:szCs w:val="20"/>
          <w:lang w:eastAsia="es-CR"/>
        </w:rPr>
      </w:pPr>
    </w:p>
    <w:p w:rsidR="00672FF2" w:rsidRPr="00672FF2" w:rsidRDefault="00672FF2" w:rsidP="00866F9E">
      <w:pPr>
        <w:spacing w:after="0" w:line="240" w:lineRule="auto"/>
        <w:jc w:val="both"/>
        <w:rPr>
          <w:rFonts w:ascii="Arial" w:eastAsia="Times New Roman" w:hAnsi="Arial" w:cs="Arial"/>
          <w:b/>
          <w:bCs/>
          <w:color w:val="000000"/>
          <w:sz w:val="20"/>
          <w:szCs w:val="20"/>
          <w:lang w:eastAsia="es-CR"/>
        </w:rPr>
      </w:pPr>
      <w:r w:rsidRPr="00672FF2">
        <w:rPr>
          <w:rFonts w:ascii="Arial" w:eastAsia="Times New Roman" w:hAnsi="Arial" w:cs="Arial"/>
          <w:b/>
          <w:bCs/>
          <w:color w:val="000000"/>
          <w:sz w:val="20"/>
          <w:szCs w:val="20"/>
          <w:lang w:eastAsia="es-CR"/>
        </w:rPr>
        <w:t>MECANISMOS DE FINANCIAMIENTO</w:t>
      </w:r>
    </w:p>
    <w:p w:rsidR="00672FF2" w:rsidRPr="00672FF2" w:rsidRDefault="00672FF2" w:rsidP="00866F9E">
      <w:pPr>
        <w:spacing w:after="0" w:line="240" w:lineRule="auto"/>
        <w:jc w:val="both"/>
        <w:rPr>
          <w:rFonts w:ascii="Arial" w:eastAsia="Times New Roman" w:hAnsi="Arial" w:cs="Arial"/>
          <w:b/>
          <w:bCs/>
          <w:color w:val="000000"/>
          <w:sz w:val="20"/>
          <w:szCs w:val="20"/>
          <w:lang w:eastAsia="es-CR"/>
        </w:rPr>
      </w:pPr>
    </w:p>
    <w:p w:rsidR="00672FF2" w:rsidRPr="00672FF2" w:rsidRDefault="00672FF2" w:rsidP="00866F9E">
      <w:pPr>
        <w:spacing w:after="0" w:line="240" w:lineRule="auto"/>
        <w:jc w:val="both"/>
        <w:rPr>
          <w:rFonts w:ascii="Arial" w:eastAsia="Times New Roman" w:hAnsi="Arial" w:cs="Arial"/>
          <w:b/>
          <w:bCs/>
          <w:color w:val="000000"/>
          <w:sz w:val="20"/>
          <w:szCs w:val="20"/>
          <w:lang w:eastAsia="es-CR"/>
        </w:rPr>
      </w:pPr>
      <w:r w:rsidRPr="00672FF2">
        <w:rPr>
          <w:rFonts w:ascii="Arial" w:eastAsia="Times New Roman" w:hAnsi="Arial" w:cs="Arial"/>
          <w:b/>
          <w:bCs/>
          <w:color w:val="000000"/>
          <w:sz w:val="20"/>
          <w:szCs w:val="20"/>
          <w:lang w:eastAsia="es-CR"/>
        </w:rPr>
        <w:t>Indicador 43. Cantidad de informes sobre las condiciones de los créditos de vivienda, como resultado del monitoreo del mercado</w:t>
      </w:r>
    </w:p>
    <w:p w:rsidR="00672FF2" w:rsidRPr="00672FF2" w:rsidRDefault="00672FF2" w:rsidP="00866F9E">
      <w:pPr>
        <w:spacing w:after="0" w:line="240" w:lineRule="auto"/>
        <w:jc w:val="both"/>
        <w:rPr>
          <w:rFonts w:ascii="Arial" w:eastAsia="Times New Roman" w:hAnsi="Arial" w:cs="Arial"/>
          <w:b/>
          <w:bCs/>
          <w:color w:val="000000"/>
          <w:sz w:val="20"/>
          <w:szCs w:val="20"/>
          <w:lang w:eastAsia="es-CR"/>
        </w:rPr>
      </w:pPr>
    </w:p>
    <w:p w:rsidR="00672FF2" w:rsidRPr="006F2D81" w:rsidRDefault="00672FF2" w:rsidP="00866F9E">
      <w:pPr>
        <w:spacing w:after="0" w:line="240" w:lineRule="auto"/>
        <w:jc w:val="both"/>
        <w:rPr>
          <w:rFonts w:ascii="Arial" w:eastAsia="Times New Roman" w:hAnsi="Arial" w:cs="Arial"/>
          <w:bCs/>
          <w:color w:val="000000"/>
          <w:sz w:val="20"/>
          <w:szCs w:val="20"/>
          <w:lang w:eastAsia="es-CR"/>
        </w:rPr>
      </w:pPr>
      <w:r w:rsidRPr="006F2D81">
        <w:rPr>
          <w:rFonts w:ascii="Arial" w:eastAsia="Times New Roman" w:hAnsi="Arial" w:cs="Arial"/>
          <w:bCs/>
          <w:color w:val="000000"/>
          <w:sz w:val="20"/>
          <w:szCs w:val="20"/>
          <w:lang w:eastAsia="es-CR"/>
        </w:rPr>
        <w:t>A diciembre se elaboraron cuatro informes: tres de ellos sobre el comportamiento de las principales variables (tasas de interés, plazos, comisiones, entre otras) que determinan la competitividad de los productos financieros, que ofrece el INVU y otro informe sobre un análisis del panorama macroeconómico nacional y su incidencia sobre las variables que determinan la competitividad, de los productos financieros que ofrece el INVU.</w:t>
      </w:r>
    </w:p>
    <w:p w:rsidR="00672FF2" w:rsidRPr="00672FF2" w:rsidRDefault="00672FF2" w:rsidP="00866F9E">
      <w:pPr>
        <w:spacing w:after="0" w:line="240" w:lineRule="auto"/>
        <w:jc w:val="both"/>
        <w:rPr>
          <w:rFonts w:ascii="Arial" w:eastAsia="Times New Roman" w:hAnsi="Arial" w:cs="Arial"/>
          <w:b/>
          <w:bCs/>
          <w:color w:val="000000"/>
          <w:sz w:val="20"/>
          <w:szCs w:val="20"/>
          <w:lang w:eastAsia="es-CR"/>
        </w:rPr>
      </w:pPr>
    </w:p>
    <w:p w:rsidR="00672FF2" w:rsidRPr="006F2D81" w:rsidRDefault="00672FF2" w:rsidP="00866F9E">
      <w:pPr>
        <w:spacing w:after="0" w:line="240" w:lineRule="auto"/>
        <w:jc w:val="both"/>
        <w:rPr>
          <w:rFonts w:ascii="Arial" w:eastAsia="Times New Roman" w:hAnsi="Arial" w:cs="Arial"/>
          <w:bCs/>
          <w:color w:val="000000"/>
          <w:sz w:val="20"/>
          <w:szCs w:val="20"/>
          <w:lang w:eastAsia="es-CR"/>
        </w:rPr>
      </w:pPr>
      <w:r w:rsidRPr="006F2D81">
        <w:rPr>
          <w:rFonts w:ascii="Arial" w:eastAsia="Times New Roman" w:hAnsi="Arial" w:cs="Arial"/>
          <w:bCs/>
          <w:color w:val="000000"/>
          <w:sz w:val="20"/>
          <w:szCs w:val="20"/>
          <w:lang w:eastAsia="es-CR"/>
        </w:rPr>
        <w:t>Seguidamente se muestra un detalle de lo actuado:</w:t>
      </w:r>
    </w:p>
    <w:tbl>
      <w:tblPr>
        <w:tblW w:w="9103" w:type="dxa"/>
        <w:tblBorders>
          <w:insideH w:val="single" w:sz="6" w:space="0" w:color="000000"/>
          <w:insideV w:val="single" w:sz="6" w:space="0" w:color="000000"/>
        </w:tblBorders>
        <w:tblLook w:val="04A0" w:firstRow="1" w:lastRow="0" w:firstColumn="1" w:lastColumn="0" w:noHBand="0" w:noVBand="1"/>
      </w:tblPr>
      <w:tblGrid>
        <w:gridCol w:w="4293"/>
        <w:gridCol w:w="4810"/>
      </w:tblGrid>
      <w:tr w:rsidR="00672FF2" w:rsidRPr="00672FF2" w:rsidTr="002D5BDD">
        <w:trPr>
          <w:trHeight w:val="270"/>
        </w:trPr>
        <w:tc>
          <w:tcPr>
            <w:tcW w:w="5000" w:type="pct"/>
            <w:gridSpan w:val="2"/>
            <w:shd w:val="clear" w:color="auto" w:fill="auto"/>
            <w:noWrap/>
            <w:hideMark/>
          </w:tcPr>
          <w:p w:rsidR="00672FF2" w:rsidRPr="00672FF2" w:rsidRDefault="00672FF2" w:rsidP="00866F9E">
            <w:pPr>
              <w:spacing w:after="0" w:line="240" w:lineRule="auto"/>
              <w:jc w:val="both"/>
              <w:rPr>
                <w:rFonts w:ascii="Arial" w:eastAsia="Times New Roman" w:hAnsi="Arial" w:cs="Arial"/>
                <w:b/>
                <w:bCs/>
                <w:color w:val="000000"/>
                <w:sz w:val="20"/>
                <w:szCs w:val="20"/>
                <w:lang w:eastAsia="es-CR"/>
              </w:rPr>
            </w:pPr>
          </w:p>
          <w:p w:rsidR="00672FF2" w:rsidRPr="00672FF2" w:rsidRDefault="00672FF2" w:rsidP="006F2D81">
            <w:pPr>
              <w:spacing w:after="0" w:line="240" w:lineRule="auto"/>
              <w:jc w:val="center"/>
              <w:rPr>
                <w:rFonts w:ascii="Arial" w:eastAsia="Times New Roman" w:hAnsi="Arial" w:cs="Arial"/>
                <w:b/>
                <w:bCs/>
                <w:color w:val="000000"/>
                <w:sz w:val="20"/>
                <w:szCs w:val="20"/>
                <w:lang w:eastAsia="es-CR"/>
              </w:rPr>
            </w:pPr>
            <w:r w:rsidRPr="00672FF2">
              <w:rPr>
                <w:rFonts w:ascii="Arial" w:eastAsia="Times New Roman" w:hAnsi="Arial" w:cs="Arial"/>
                <w:b/>
                <w:bCs/>
                <w:color w:val="000000"/>
                <w:sz w:val="20"/>
                <w:szCs w:val="20"/>
                <w:lang w:eastAsia="es-CR"/>
              </w:rPr>
              <w:t>Tabla 37 Acciones Realizadas</w:t>
            </w:r>
          </w:p>
        </w:tc>
      </w:tr>
      <w:tr w:rsidR="00672FF2" w:rsidRPr="00672FF2" w:rsidTr="002D5BDD">
        <w:trPr>
          <w:trHeight w:val="825"/>
        </w:trPr>
        <w:tc>
          <w:tcPr>
            <w:tcW w:w="2358" w:type="pct"/>
            <w:shd w:val="clear" w:color="auto" w:fill="auto"/>
            <w:hideMark/>
          </w:tcPr>
          <w:p w:rsidR="00672FF2" w:rsidRPr="00672FF2" w:rsidRDefault="00672FF2" w:rsidP="00866F9E">
            <w:pPr>
              <w:spacing w:after="0" w:line="240" w:lineRule="auto"/>
              <w:jc w:val="both"/>
              <w:rPr>
                <w:rFonts w:ascii="Arial" w:eastAsia="Times New Roman" w:hAnsi="Arial" w:cs="Arial"/>
                <w:b/>
                <w:bCs/>
                <w:color w:val="000000"/>
                <w:sz w:val="20"/>
                <w:szCs w:val="20"/>
                <w:lang w:eastAsia="es-CR"/>
              </w:rPr>
            </w:pPr>
            <w:r w:rsidRPr="00672FF2">
              <w:rPr>
                <w:rFonts w:ascii="Arial" w:eastAsia="Times New Roman" w:hAnsi="Arial" w:cs="Arial"/>
                <w:b/>
                <w:bCs/>
                <w:color w:val="000000"/>
                <w:sz w:val="20"/>
                <w:szCs w:val="20"/>
                <w:lang w:eastAsia="es-CR"/>
              </w:rPr>
              <w:t>a) Actividades realizadas:</w:t>
            </w:r>
          </w:p>
        </w:tc>
        <w:tc>
          <w:tcPr>
            <w:tcW w:w="2642" w:type="pct"/>
            <w:shd w:val="clear" w:color="auto" w:fill="auto"/>
          </w:tcPr>
          <w:p w:rsidR="00672FF2" w:rsidRPr="006F2D81" w:rsidRDefault="00672FF2" w:rsidP="00866F9E">
            <w:pPr>
              <w:spacing w:after="0" w:line="240" w:lineRule="auto"/>
              <w:jc w:val="both"/>
              <w:rPr>
                <w:rFonts w:ascii="Arial" w:eastAsia="Times New Roman" w:hAnsi="Arial" w:cs="Arial"/>
                <w:bCs/>
                <w:color w:val="000000"/>
                <w:sz w:val="20"/>
                <w:szCs w:val="20"/>
                <w:lang w:eastAsia="es-CR"/>
              </w:rPr>
            </w:pPr>
            <w:r w:rsidRPr="006F2D81">
              <w:rPr>
                <w:rFonts w:ascii="Arial" w:eastAsia="Times New Roman" w:hAnsi="Arial" w:cs="Arial"/>
                <w:bCs/>
                <w:color w:val="000000"/>
                <w:sz w:val="20"/>
                <w:szCs w:val="20"/>
                <w:lang w:eastAsia="es-CR"/>
              </w:rPr>
              <w:t xml:space="preserve">En el mes de febrero 2017, se visitó la primera feria anual de </w:t>
            </w:r>
            <w:r w:rsidR="00FC7F4D" w:rsidRPr="006F2D81">
              <w:rPr>
                <w:rFonts w:ascii="Arial" w:eastAsia="Times New Roman" w:hAnsi="Arial" w:cs="Arial"/>
                <w:bCs/>
                <w:color w:val="000000"/>
                <w:sz w:val="20"/>
                <w:szCs w:val="20"/>
                <w:lang w:eastAsia="es-CR"/>
              </w:rPr>
              <w:t>Expo casa</w:t>
            </w:r>
            <w:r w:rsidRPr="006F2D81">
              <w:rPr>
                <w:rFonts w:ascii="Arial" w:eastAsia="Times New Roman" w:hAnsi="Arial" w:cs="Arial"/>
                <w:bCs/>
                <w:color w:val="000000"/>
                <w:sz w:val="20"/>
                <w:szCs w:val="20"/>
                <w:lang w:eastAsia="es-CR"/>
              </w:rPr>
              <w:t xml:space="preserve">-Construcción 2017, conforme lo programado. En dicha Feria se visitaron los “stands” de diversas entidades financieras que estaban ofreciendo sus productos. Con base en esta información y con la información de los medios de comunicación, como el periódico El Financiero, se elaboró el respectivo Informe, remitido a la Jefatura inmediata, mediante oficio DPH-UMF-002-2017 de fecha 28 de febrero de 2017. </w:t>
            </w:r>
          </w:p>
          <w:p w:rsidR="00672FF2" w:rsidRPr="006F2D81" w:rsidRDefault="00672FF2" w:rsidP="00866F9E">
            <w:pPr>
              <w:spacing w:after="0" w:line="240" w:lineRule="auto"/>
              <w:jc w:val="both"/>
              <w:rPr>
                <w:rFonts w:ascii="Arial" w:eastAsia="Times New Roman" w:hAnsi="Arial" w:cs="Arial"/>
                <w:bCs/>
                <w:color w:val="000000"/>
                <w:sz w:val="20"/>
                <w:szCs w:val="20"/>
                <w:lang w:eastAsia="es-CR"/>
              </w:rPr>
            </w:pPr>
            <w:r w:rsidRPr="006F2D81">
              <w:rPr>
                <w:rFonts w:ascii="Arial" w:eastAsia="Times New Roman" w:hAnsi="Arial" w:cs="Arial"/>
                <w:bCs/>
                <w:color w:val="000000"/>
                <w:sz w:val="20"/>
                <w:szCs w:val="20"/>
                <w:lang w:eastAsia="es-CR"/>
              </w:rPr>
              <w:t>El informe se refiere al comportamiento de las principales variables (tasas de interés, plazos, comisiones, entre otras), que determinan la competitividad de los productos financieros, relacionados con el financiamiento a personas para optar por soluciones habitacionales, en el cual se recomienda que no se cambien las condiciones actuales de la línea de crédito (Ley 8448, Superávit Libre y Ley 9016).</w:t>
            </w:r>
          </w:p>
          <w:p w:rsidR="00672FF2" w:rsidRPr="006F2D81" w:rsidRDefault="00672FF2" w:rsidP="00866F9E">
            <w:pPr>
              <w:spacing w:after="0" w:line="240" w:lineRule="auto"/>
              <w:jc w:val="both"/>
              <w:rPr>
                <w:rFonts w:ascii="Arial" w:eastAsia="Times New Roman" w:hAnsi="Arial" w:cs="Arial"/>
                <w:bCs/>
                <w:color w:val="000000"/>
                <w:sz w:val="20"/>
                <w:szCs w:val="20"/>
                <w:lang w:eastAsia="es-CR"/>
              </w:rPr>
            </w:pPr>
            <w:r w:rsidRPr="006F2D81">
              <w:rPr>
                <w:rFonts w:ascii="Arial" w:eastAsia="Times New Roman" w:hAnsi="Arial" w:cs="Arial"/>
                <w:bCs/>
                <w:color w:val="000000"/>
                <w:sz w:val="20"/>
                <w:szCs w:val="20"/>
                <w:lang w:eastAsia="es-CR"/>
              </w:rPr>
              <w:t>- Se realizó un análisis del panorama macroeconómico nacional y su incidencia sobre dichas variables, recomendándose no variar las condiciones actuales de las líneas de crédito, ya que son atractivas; además de que el Instituto más que competir con otras Entidades del Sistema Financiero Nacional, lo que persigue es un enfoque social más que de lucro. Sin embargo, se indicó que es necesaria una política agresiva de cobro de la cartera, así como una mayor asignación de recursos que permitan una mayor colocación y diversificación de los productos que se ofrecen.</w:t>
            </w:r>
          </w:p>
          <w:p w:rsidR="00672FF2" w:rsidRPr="006F2D81" w:rsidRDefault="00672FF2" w:rsidP="00866F9E">
            <w:pPr>
              <w:spacing w:after="0" w:line="240" w:lineRule="auto"/>
              <w:jc w:val="both"/>
              <w:rPr>
                <w:rFonts w:ascii="Arial" w:eastAsia="Times New Roman" w:hAnsi="Arial" w:cs="Arial"/>
                <w:bCs/>
                <w:color w:val="000000"/>
                <w:sz w:val="20"/>
                <w:szCs w:val="20"/>
                <w:lang w:eastAsia="es-CR"/>
              </w:rPr>
            </w:pPr>
          </w:p>
          <w:p w:rsidR="00672FF2" w:rsidRPr="006F2D81" w:rsidRDefault="00672FF2" w:rsidP="00866F9E">
            <w:pPr>
              <w:spacing w:after="0" w:line="240" w:lineRule="auto"/>
              <w:jc w:val="both"/>
              <w:rPr>
                <w:rFonts w:ascii="Arial" w:eastAsia="Times New Roman" w:hAnsi="Arial" w:cs="Arial"/>
                <w:bCs/>
                <w:color w:val="000000"/>
                <w:sz w:val="20"/>
                <w:szCs w:val="20"/>
                <w:lang w:eastAsia="es-CR"/>
              </w:rPr>
            </w:pPr>
            <w:r w:rsidRPr="006F2D81">
              <w:rPr>
                <w:rFonts w:ascii="Arial" w:eastAsia="Times New Roman" w:hAnsi="Arial" w:cs="Arial"/>
                <w:bCs/>
                <w:color w:val="000000"/>
                <w:sz w:val="20"/>
                <w:szCs w:val="20"/>
                <w:lang w:eastAsia="es-CR"/>
              </w:rPr>
              <w:t xml:space="preserve">-Se realizó un tercer informe y análisis sobre las condiciones ofrecidas por las Entidades Financieras para financiamiento de vivienda, en la Feria Expo-casa celebrada en el mes de agosto de </w:t>
            </w:r>
            <w:r w:rsidRPr="006F2D81">
              <w:rPr>
                <w:rFonts w:ascii="Arial" w:eastAsia="Times New Roman" w:hAnsi="Arial" w:cs="Arial"/>
                <w:bCs/>
                <w:color w:val="000000"/>
                <w:sz w:val="20"/>
                <w:szCs w:val="20"/>
                <w:lang w:eastAsia="es-CR"/>
              </w:rPr>
              <w:lastRenderedPageBreak/>
              <w:t xml:space="preserve">2017. En el Informe se destacó lo atractivo de los productos ofrecidos por el Instituto en comparación con los ofrecidos en el mercado por las entidades del sector público y privado. </w:t>
            </w:r>
          </w:p>
          <w:p w:rsidR="00672FF2" w:rsidRPr="006F2D81" w:rsidRDefault="00672FF2" w:rsidP="00866F9E">
            <w:pPr>
              <w:spacing w:after="0" w:line="240" w:lineRule="auto"/>
              <w:jc w:val="both"/>
              <w:rPr>
                <w:rFonts w:ascii="Arial" w:eastAsia="Times New Roman" w:hAnsi="Arial" w:cs="Arial"/>
                <w:bCs/>
                <w:color w:val="000000"/>
                <w:sz w:val="20"/>
                <w:szCs w:val="20"/>
                <w:lang w:eastAsia="es-CR"/>
              </w:rPr>
            </w:pPr>
            <w:r w:rsidRPr="006F2D81">
              <w:rPr>
                <w:rFonts w:ascii="Arial" w:eastAsia="Times New Roman" w:hAnsi="Arial" w:cs="Arial"/>
                <w:bCs/>
                <w:color w:val="000000"/>
                <w:sz w:val="20"/>
                <w:szCs w:val="20"/>
                <w:lang w:eastAsia="es-CR"/>
              </w:rPr>
              <w:t xml:space="preserve">- El cuarto informe del año, en el cual se indicó que no existía variaciones significativas con respecto al Informe rendido en el mes de noviembre 2017, por lo cual se recomendó mantener las condiciones. </w:t>
            </w:r>
          </w:p>
        </w:tc>
      </w:tr>
      <w:tr w:rsidR="00672FF2" w:rsidRPr="00672FF2" w:rsidTr="002D5BDD">
        <w:trPr>
          <w:trHeight w:val="492"/>
        </w:trPr>
        <w:tc>
          <w:tcPr>
            <w:tcW w:w="2358" w:type="pct"/>
            <w:shd w:val="clear" w:color="auto" w:fill="auto"/>
            <w:hideMark/>
          </w:tcPr>
          <w:p w:rsidR="00672FF2" w:rsidRPr="00672FF2" w:rsidRDefault="00672FF2" w:rsidP="00866F9E">
            <w:pPr>
              <w:spacing w:after="0" w:line="240" w:lineRule="auto"/>
              <w:jc w:val="both"/>
              <w:rPr>
                <w:rFonts w:ascii="Arial" w:eastAsia="Times New Roman" w:hAnsi="Arial" w:cs="Arial"/>
                <w:b/>
                <w:bCs/>
                <w:color w:val="000000"/>
                <w:sz w:val="20"/>
                <w:szCs w:val="20"/>
                <w:lang w:eastAsia="es-CR"/>
              </w:rPr>
            </w:pPr>
            <w:r w:rsidRPr="00672FF2">
              <w:rPr>
                <w:rFonts w:ascii="Arial" w:eastAsia="Times New Roman" w:hAnsi="Arial" w:cs="Arial"/>
                <w:b/>
                <w:bCs/>
                <w:color w:val="000000"/>
                <w:sz w:val="20"/>
                <w:szCs w:val="20"/>
                <w:lang w:eastAsia="es-CR"/>
              </w:rPr>
              <w:t xml:space="preserve">b) Limitaciones: </w:t>
            </w:r>
          </w:p>
        </w:tc>
        <w:tc>
          <w:tcPr>
            <w:tcW w:w="2642" w:type="pct"/>
            <w:shd w:val="clear" w:color="auto" w:fill="auto"/>
          </w:tcPr>
          <w:p w:rsidR="00672FF2" w:rsidRPr="006F2D81" w:rsidRDefault="00672FF2" w:rsidP="00866F9E">
            <w:pPr>
              <w:spacing w:after="0" w:line="240" w:lineRule="auto"/>
              <w:jc w:val="both"/>
              <w:rPr>
                <w:rFonts w:ascii="Arial" w:eastAsia="Times New Roman" w:hAnsi="Arial" w:cs="Arial"/>
                <w:bCs/>
                <w:color w:val="000000"/>
                <w:sz w:val="20"/>
                <w:szCs w:val="20"/>
                <w:lang w:eastAsia="es-CR"/>
              </w:rPr>
            </w:pPr>
          </w:p>
        </w:tc>
      </w:tr>
      <w:tr w:rsidR="00672FF2" w:rsidRPr="00672FF2" w:rsidTr="002D5BDD">
        <w:trPr>
          <w:trHeight w:val="471"/>
        </w:trPr>
        <w:tc>
          <w:tcPr>
            <w:tcW w:w="2358" w:type="pct"/>
            <w:shd w:val="clear" w:color="auto" w:fill="auto"/>
            <w:hideMark/>
          </w:tcPr>
          <w:p w:rsidR="00672FF2" w:rsidRPr="00672FF2" w:rsidRDefault="00672FF2" w:rsidP="00866F9E">
            <w:pPr>
              <w:spacing w:after="0" w:line="240" w:lineRule="auto"/>
              <w:jc w:val="both"/>
              <w:rPr>
                <w:rFonts w:ascii="Arial" w:eastAsia="Times New Roman" w:hAnsi="Arial" w:cs="Arial"/>
                <w:b/>
                <w:bCs/>
                <w:color w:val="000000"/>
                <w:sz w:val="20"/>
                <w:szCs w:val="20"/>
                <w:lang w:eastAsia="es-CR"/>
              </w:rPr>
            </w:pPr>
            <w:r w:rsidRPr="00672FF2">
              <w:rPr>
                <w:rFonts w:ascii="Arial" w:eastAsia="Times New Roman" w:hAnsi="Arial" w:cs="Arial"/>
                <w:b/>
                <w:bCs/>
                <w:color w:val="000000"/>
                <w:sz w:val="20"/>
                <w:szCs w:val="20"/>
                <w:lang w:eastAsia="es-CR"/>
              </w:rPr>
              <w:t>c) Medidas correctivas o acciones de mejora (realizadas y por realizar) para el logro de la meta:</w:t>
            </w:r>
          </w:p>
          <w:p w:rsidR="00672FF2" w:rsidRPr="00672FF2" w:rsidRDefault="00672FF2" w:rsidP="00866F9E">
            <w:pPr>
              <w:spacing w:after="0" w:line="240" w:lineRule="auto"/>
              <w:jc w:val="both"/>
              <w:rPr>
                <w:rFonts w:ascii="Arial" w:eastAsia="Times New Roman" w:hAnsi="Arial" w:cs="Arial"/>
                <w:b/>
                <w:bCs/>
                <w:color w:val="000000"/>
                <w:sz w:val="20"/>
                <w:szCs w:val="20"/>
                <w:lang w:eastAsia="es-CR"/>
              </w:rPr>
            </w:pPr>
          </w:p>
        </w:tc>
        <w:tc>
          <w:tcPr>
            <w:tcW w:w="2642" w:type="pct"/>
            <w:shd w:val="clear" w:color="auto" w:fill="auto"/>
          </w:tcPr>
          <w:p w:rsidR="00672FF2" w:rsidRPr="006F2D81" w:rsidRDefault="00672FF2" w:rsidP="00866F9E">
            <w:pPr>
              <w:spacing w:after="0" w:line="240" w:lineRule="auto"/>
              <w:jc w:val="both"/>
              <w:rPr>
                <w:rFonts w:ascii="Arial" w:eastAsia="Times New Roman" w:hAnsi="Arial" w:cs="Arial"/>
                <w:bCs/>
                <w:color w:val="000000"/>
                <w:sz w:val="20"/>
                <w:szCs w:val="20"/>
                <w:lang w:eastAsia="es-CR"/>
              </w:rPr>
            </w:pPr>
            <w:r w:rsidRPr="006F2D81">
              <w:rPr>
                <w:rFonts w:ascii="Arial" w:eastAsia="Times New Roman" w:hAnsi="Arial" w:cs="Arial"/>
                <w:bCs/>
                <w:color w:val="000000"/>
                <w:sz w:val="20"/>
                <w:szCs w:val="20"/>
                <w:lang w:eastAsia="es-CR"/>
              </w:rPr>
              <w:t>Los informes contienen recomendaciones a la Administración Superior, sobre la compet</w:t>
            </w:r>
            <w:r w:rsidR="006F2D81" w:rsidRPr="006F2D81">
              <w:rPr>
                <w:rFonts w:ascii="Arial" w:eastAsia="Times New Roman" w:hAnsi="Arial" w:cs="Arial"/>
                <w:bCs/>
                <w:color w:val="000000"/>
                <w:sz w:val="20"/>
                <w:szCs w:val="20"/>
                <w:lang w:eastAsia="es-CR"/>
              </w:rPr>
              <w:t>it</w:t>
            </w:r>
            <w:r w:rsidRPr="006F2D81">
              <w:rPr>
                <w:rFonts w:ascii="Arial" w:eastAsia="Times New Roman" w:hAnsi="Arial" w:cs="Arial"/>
                <w:bCs/>
                <w:color w:val="000000"/>
                <w:sz w:val="20"/>
                <w:szCs w:val="20"/>
                <w:lang w:eastAsia="es-CR"/>
              </w:rPr>
              <w:t>ividad de los productos financieros del INVU.</w:t>
            </w:r>
          </w:p>
        </w:tc>
      </w:tr>
      <w:tr w:rsidR="00672FF2" w:rsidRPr="00672FF2" w:rsidTr="002D5BDD">
        <w:trPr>
          <w:trHeight w:val="850"/>
        </w:trPr>
        <w:tc>
          <w:tcPr>
            <w:tcW w:w="2358" w:type="pct"/>
            <w:shd w:val="clear" w:color="auto" w:fill="auto"/>
          </w:tcPr>
          <w:p w:rsidR="00672FF2" w:rsidRPr="00672FF2" w:rsidRDefault="00672FF2" w:rsidP="00866F9E">
            <w:pPr>
              <w:spacing w:after="0" w:line="240" w:lineRule="auto"/>
              <w:jc w:val="both"/>
              <w:rPr>
                <w:rFonts w:ascii="Arial" w:eastAsia="Times New Roman" w:hAnsi="Arial" w:cs="Arial"/>
                <w:b/>
                <w:bCs/>
                <w:color w:val="000000"/>
                <w:sz w:val="20"/>
                <w:szCs w:val="20"/>
                <w:lang w:eastAsia="es-CR"/>
              </w:rPr>
            </w:pPr>
            <w:r w:rsidRPr="00672FF2">
              <w:rPr>
                <w:rFonts w:ascii="Arial" w:eastAsia="Times New Roman" w:hAnsi="Arial" w:cs="Arial"/>
                <w:b/>
                <w:bCs/>
                <w:color w:val="000000"/>
                <w:sz w:val="20"/>
                <w:szCs w:val="20"/>
                <w:lang w:eastAsia="es-CR"/>
              </w:rPr>
              <w:t>Observaciones:</w:t>
            </w:r>
          </w:p>
        </w:tc>
        <w:tc>
          <w:tcPr>
            <w:tcW w:w="2642" w:type="pct"/>
            <w:shd w:val="clear" w:color="auto" w:fill="auto"/>
          </w:tcPr>
          <w:p w:rsidR="00672FF2" w:rsidRPr="006F2D81" w:rsidRDefault="00672FF2" w:rsidP="00866F9E">
            <w:pPr>
              <w:spacing w:after="0" w:line="240" w:lineRule="auto"/>
              <w:jc w:val="both"/>
              <w:rPr>
                <w:rFonts w:ascii="Arial" w:eastAsia="Times New Roman" w:hAnsi="Arial" w:cs="Arial"/>
                <w:bCs/>
                <w:color w:val="000000"/>
                <w:sz w:val="20"/>
                <w:szCs w:val="20"/>
                <w:lang w:eastAsia="es-CR"/>
              </w:rPr>
            </w:pPr>
            <w:r w:rsidRPr="006F2D81">
              <w:rPr>
                <w:rFonts w:ascii="Arial" w:eastAsia="Times New Roman" w:hAnsi="Arial" w:cs="Arial"/>
                <w:bCs/>
                <w:color w:val="000000"/>
                <w:sz w:val="20"/>
                <w:szCs w:val="20"/>
                <w:lang w:eastAsia="es-CR"/>
              </w:rPr>
              <w:t xml:space="preserve">Los productos que ofrece el INVU actualmente, son atractivos, a la luz de lo que se ofrece en el mercado financiero para la vivienda.  No obstante para aprovechar la potencial demanda, se recomendó a la Administración  canalizar esfuerzos hacia la generación de ingresos así como implementar una política agresiva de cobro de forma tal que se generen carteras de crédito sanas, las cuales mediante su recuperación permitan una tendencia creciente de los fondos prestables. </w:t>
            </w:r>
          </w:p>
          <w:p w:rsidR="00672FF2" w:rsidRPr="006F2D81" w:rsidRDefault="00672FF2" w:rsidP="00866F9E">
            <w:pPr>
              <w:spacing w:after="0" w:line="240" w:lineRule="auto"/>
              <w:jc w:val="both"/>
              <w:rPr>
                <w:rFonts w:ascii="Arial" w:eastAsia="Times New Roman" w:hAnsi="Arial" w:cs="Arial"/>
                <w:bCs/>
                <w:color w:val="000000"/>
                <w:sz w:val="20"/>
                <w:szCs w:val="20"/>
                <w:lang w:eastAsia="es-CR"/>
              </w:rPr>
            </w:pPr>
          </w:p>
        </w:tc>
      </w:tr>
    </w:tbl>
    <w:p w:rsidR="00672FF2" w:rsidRPr="00672FF2" w:rsidRDefault="00672FF2" w:rsidP="00866F9E">
      <w:pPr>
        <w:spacing w:after="0" w:line="240" w:lineRule="auto"/>
        <w:jc w:val="both"/>
        <w:rPr>
          <w:rFonts w:ascii="Arial" w:eastAsia="Times New Roman" w:hAnsi="Arial" w:cs="Arial"/>
          <w:b/>
          <w:bCs/>
          <w:color w:val="000000"/>
          <w:sz w:val="20"/>
          <w:szCs w:val="20"/>
          <w:lang w:eastAsia="es-CR"/>
        </w:rPr>
      </w:pPr>
    </w:p>
    <w:p w:rsidR="00672FF2" w:rsidRPr="006F2D81" w:rsidRDefault="00672FF2" w:rsidP="00866F9E">
      <w:pPr>
        <w:spacing w:after="0" w:line="240" w:lineRule="auto"/>
        <w:jc w:val="both"/>
        <w:rPr>
          <w:rFonts w:ascii="Arial" w:eastAsia="Times New Roman" w:hAnsi="Arial" w:cs="Arial"/>
          <w:bCs/>
          <w:color w:val="000000"/>
          <w:sz w:val="18"/>
          <w:szCs w:val="18"/>
          <w:lang w:eastAsia="es-CR"/>
        </w:rPr>
      </w:pPr>
      <w:r w:rsidRPr="006F2D81">
        <w:rPr>
          <w:rFonts w:ascii="Arial" w:eastAsia="Times New Roman" w:hAnsi="Arial" w:cs="Arial"/>
          <w:bCs/>
          <w:color w:val="000000"/>
          <w:sz w:val="18"/>
          <w:szCs w:val="18"/>
          <w:lang w:eastAsia="es-CR"/>
        </w:rPr>
        <w:t>Nota Fuente: Informe de rendimiento de cuentas de área. (2017)</w:t>
      </w:r>
    </w:p>
    <w:p w:rsidR="00623888" w:rsidRDefault="00623888" w:rsidP="002D5BDD">
      <w:pPr>
        <w:pStyle w:val="Textoindependiente"/>
        <w:spacing w:after="0" w:line="240" w:lineRule="auto"/>
        <w:jc w:val="both"/>
        <w:rPr>
          <w:rFonts w:ascii="Arial" w:eastAsia="Times New Roman" w:hAnsi="Arial" w:cs="Arial"/>
          <w:sz w:val="20"/>
          <w:szCs w:val="20"/>
          <w:lang w:val="es-ES" w:eastAsia="es-ES"/>
        </w:rPr>
      </w:pPr>
    </w:p>
    <w:p w:rsidR="00623888" w:rsidRDefault="00623888" w:rsidP="002D5BDD">
      <w:pPr>
        <w:pStyle w:val="Textoindependiente"/>
        <w:spacing w:after="0" w:line="240" w:lineRule="auto"/>
        <w:jc w:val="both"/>
        <w:rPr>
          <w:rFonts w:ascii="Arial" w:eastAsia="Times New Roman" w:hAnsi="Arial" w:cs="Arial"/>
          <w:sz w:val="20"/>
          <w:szCs w:val="20"/>
          <w:lang w:val="es-ES" w:eastAsia="es-ES"/>
        </w:rPr>
      </w:pPr>
    </w:p>
    <w:p w:rsidR="00623888" w:rsidRDefault="00623888" w:rsidP="002D5BDD">
      <w:pPr>
        <w:pStyle w:val="Textoindependiente"/>
        <w:spacing w:after="0" w:line="240" w:lineRule="auto"/>
        <w:jc w:val="both"/>
        <w:rPr>
          <w:rFonts w:ascii="Arial" w:eastAsia="Times New Roman" w:hAnsi="Arial" w:cs="Arial"/>
          <w:sz w:val="20"/>
          <w:szCs w:val="20"/>
          <w:lang w:val="es-ES" w:eastAsia="es-ES"/>
        </w:rPr>
      </w:pPr>
    </w:p>
    <w:p w:rsidR="00623888" w:rsidRDefault="00623888" w:rsidP="002D5BDD">
      <w:pPr>
        <w:pStyle w:val="Textoindependiente"/>
        <w:spacing w:after="0" w:line="240" w:lineRule="auto"/>
        <w:jc w:val="both"/>
        <w:rPr>
          <w:rFonts w:ascii="Arial" w:eastAsia="Times New Roman" w:hAnsi="Arial" w:cs="Arial"/>
          <w:sz w:val="20"/>
          <w:szCs w:val="20"/>
          <w:lang w:val="es-ES" w:eastAsia="es-ES"/>
        </w:rPr>
      </w:pPr>
    </w:p>
    <w:p w:rsidR="00623888" w:rsidRDefault="00623888" w:rsidP="002D5BDD">
      <w:pPr>
        <w:pStyle w:val="Textoindependiente"/>
        <w:spacing w:after="0" w:line="240" w:lineRule="auto"/>
        <w:jc w:val="both"/>
        <w:rPr>
          <w:rFonts w:ascii="Arial" w:eastAsia="Times New Roman" w:hAnsi="Arial" w:cs="Arial"/>
          <w:sz w:val="20"/>
          <w:szCs w:val="20"/>
          <w:lang w:val="es-ES" w:eastAsia="es-ES"/>
        </w:rPr>
      </w:pPr>
    </w:p>
    <w:p w:rsidR="00623888" w:rsidRDefault="00623888" w:rsidP="002D5BDD">
      <w:pPr>
        <w:pStyle w:val="Textoindependiente"/>
        <w:spacing w:after="0" w:line="240" w:lineRule="auto"/>
        <w:jc w:val="both"/>
        <w:rPr>
          <w:rFonts w:ascii="Arial" w:eastAsia="Times New Roman" w:hAnsi="Arial" w:cs="Arial"/>
          <w:sz w:val="20"/>
          <w:szCs w:val="20"/>
          <w:lang w:val="es-ES" w:eastAsia="es-ES"/>
        </w:rPr>
      </w:pPr>
    </w:p>
    <w:p w:rsidR="00623888" w:rsidRDefault="00623888" w:rsidP="002D5BDD">
      <w:pPr>
        <w:pStyle w:val="Textoindependiente"/>
        <w:spacing w:after="0" w:line="240" w:lineRule="auto"/>
        <w:jc w:val="both"/>
        <w:rPr>
          <w:rFonts w:ascii="Arial" w:eastAsia="Times New Roman" w:hAnsi="Arial" w:cs="Arial"/>
          <w:sz w:val="20"/>
          <w:szCs w:val="20"/>
          <w:lang w:val="es-ES" w:eastAsia="es-ES"/>
        </w:rPr>
      </w:pPr>
    </w:p>
    <w:p w:rsidR="00623888" w:rsidRDefault="00623888" w:rsidP="002D5BDD">
      <w:pPr>
        <w:pStyle w:val="Textoindependiente"/>
        <w:spacing w:after="0" w:line="240" w:lineRule="auto"/>
        <w:jc w:val="both"/>
        <w:rPr>
          <w:rFonts w:ascii="Arial" w:eastAsia="Times New Roman" w:hAnsi="Arial" w:cs="Arial"/>
          <w:sz w:val="20"/>
          <w:szCs w:val="20"/>
          <w:lang w:val="es-ES" w:eastAsia="es-ES"/>
        </w:rPr>
      </w:pPr>
    </w:p>
    <w:p w:rsidR="00623888" w:rsidRDefault="00623888" w:rsidP="002D5BDD">
      <w:pPr>
        <w:pStyle w:val="Textoindependiente"/>
        <w:spacing w:after="0" w:line="240" w:lineRule="auto"/>
        <w:jc w:val="both"/>
        <w:rPr>
          <w:rFonts w:ascii="Arial" w:eastAsia="Times New Roman" w:hAnsi="Arial" w:cs="Arial"/>
          <w:sz w:val="20"/>
          <w:szCs w:val="20"/>
          <w:lang w:val="es-ES" w:eastAsia="es-ES"/>
        </w:rPr>
      </w:pPr>
    </w:p>
    <w:p w:rsidR="00623888" w:rsidRDefault="00623888" w:rsidP="002D5BDD">
      <w:pPr>
        <w:pStyle w:val="Textoindependiente"/>
        <w:spacing w:after="0" w:line="240" w:lineRule="auto"/>
        <w:jc w:val="both"/>
        <w:rPr>
          <w:rFonts w:ascii="Arial" w:eastAsia="Times New Roman" w:hAnsi="Arial" w:cs="Arial"/>
          <w:sz w:val="20"/>
          <w:szCs w:val="20"/>
          <w:lang w:val="es-ES" w:eastAsia="es-ES"/>
        </w:rPr>
      </w:pPr>
    </w:p>
    <w:p w:rsidR="00623888" w:rsidRDefault="00623888" w:rsidP="002D5BDD">
      <w:pPr>
        <w:pStyle w:val="Textoindependiente"/>
        <w:spacing w:after="0" w:line="240" w:lineRule="auto"/>
        <w:jc w:val="both"/>
        <w:rPr>
          <w:rFonts w:ascii="Arial" w:eastAsia="Times New Roman" w:hAnsi="Arial" w:cs="Arial"/>
          <w:sz w:val="20"/>
          <w:szCs w:val="20"/>
          <w:lang w:val="es-ES" w:eastAsia="es-ES"/>
        </w:rPr>
      </w:pPr>
    </w:p>
    <w:p w:rsidR="00623888" w:rsidRDefault="00623888" w:rsidP="002D5BDD">
      <w:pPr>
        <w:pStyle w:val="Textoindependiente"/>
        <w:spacing w:after="0" w:line="240" w:lineRule="auto"/>
        <w:jc w:val="both"/>
        <w:rPr>
          <w:rFonts w:ascii="Arial" w:eastAsia="Times New Roman" w:hAnsi="Arial" w:cs="Arial"/>
          <w:sz w:val="20"/>
          <w:szCs w:val="20"/>
          <w:lang w:val="es-ES" w:eastAsia="es-ES"/>
        </w:rPr>
      </w:pPr>
    </w:p>
    <w:p w:rsidR="00623888" w:rsidRDefault="00623888" w:rsidP="002D5BDD">
      <w:pPr>
        <w:pStyle w:val="Textoindependiente"/>
        <w:spacing w:after="0" w:line="240" w:lineRule="auto"/>
        <w:jc w:val="both"/>
        <w:rPr>
          <w:rFonts w:ascii="Arial" w:eastAsia="Times New Roman" w:hAnsi="Arial" w:cs="Arial"/>
          <w:sz w:val="20"/>
          <w:szCs w:val="20"/>
          <w:lang w:val="es-ES" w:eastAsia="es-ES"/>
        </w:rPr>
      </w:pPr>
    </w:p>
    <w:p w:rsidR="00623888" w:rsidRDefault="00623888" w:rsidP="002D5BDD">
      <w:pPr>
        <w:pStyle w:val="Textoindependiente"/>
        <w:spacing w:after="0" w:line="240" w:lineRule="auto"/>
        <w:jc w:val="both"/>
        <w:rPr>
          <w:rFonts w:ascii="Arial" w:eastAsia="Times New Roman" w:hAnsi="Arial" w:cs="Arial"/>
          <w:sz w:val="20"/>
          <w:szCs w:val="20"/>
          <w:lang w:val="es-ES" w:eastAsia="es-ES"/>
        </w:rPr>
      </w:pPr>
    </w:p>
    <w:p w:rsidR="00623888" w:rsidRDefault="00623888" w:rsidP="002D5BDD">
      <w:pPr>
        <w:pStyle w:val="Textoindependiente"/>
        <w:spacing w:after="0" w:line="240" w:lineRule="auto"/>
        <w:jc w:val="both"/>
        <w:rPr>
          <w:rFonts w:ascii="Arial" w:eastAsia="Times New Roman" w:hAnsi="Arial" w:cs="Arial"/>
          <w:sz w:val="20"/>
          <w:szCs w:val="20"/>
          <w:lang w:val="es-ES" w:eastAsia="es-ES"/>
        </w:rPr>
      </w:pPr>
    </w:p>
    <w:p w:rsidR="00623888" w:rsidRDefault="00623888" w:rsidP="002D5BDD">
      <w:pPr>
        <w:pStyle w:val="Textoindependiente"/>
        <w:spacing w:after="0" w:line="240" w:lineRule="auto"/>
        <w:jc w:val="both"/>
        <w:rPr>
          <w:rFonts w:ascii="Arial" w:eastAsia="Times New Roman" w:hAnsi="Arial" w:cs="Arial"/>
          <w:sz w:val="20"/>
          <w:szCs w:val="20"/>
          <w:lang w:val="es-ES" w:eastAsia="es-ES"/>
        </w:rPr>
      </w:pPr>
    </w:p>
    <w:p w:rsidR="00623888" w:rsidRDefault="00623888" w:rsidP="002D5BDD">
      <w:pPr>
        <w:pStyle w:val="Textoindependiente"/>
        <w:spacing w:after="0" w:line="240" w:lineRule="auto"/>
        <w:jc w:val="both"/>
        <w:rPr>
          <w:rFonts w:ascii="Arial" w:eastAsia="Times New Roman" w:hAnsi="Arial" w:cs="Arial"/>
          <w:sz w:val="20"/>
          <w:szCs w:val="20"/>
          <w:lang w:val="es-ES" w:eastAsia="es-ES"/>
        </w:rPr>
      </w:pPr>
    </w:p>
    <w:p w:rsidR="00623888" w:rsidRDefault="00623888" w:rsidP="002D5BDD">
      <w:pPr>
        <w:pStyle w:val="Textoindependiente"/>
        <w:spacing w:after="0" w:line="240" w:lineRule="auto"/>
        <w:jc w:val="both"/>
        <w:rPr>
          <w:rFonts w:ascii="Arial" w:eastAsia="Times New Roman" w:hAnsi="Arial" w:cs="Arial"/>
          <w:sz w:val="20"/>
          <w:szCs w:val="20"/>
          <w:lang w:val="es-ES" w:eastAsia="es-ES"/>
        </w:rPr>
      </w:pPr>
    </w:p>
    <w:p w:rsidR="00FC7F4D" w:rsidRDefault="00FC7F4D">
      <w:pPr>
        <w:rPr>
          <w:rFonts w:ascii="Arial" w:eastAsia="Times New Roman" w:hAnsi="Arial" w:cs="Arial"/>
          <w:sz w:val="20"/>
          <w:szCs w:val="20"/>
          <w:lang w:val="es-ES" w:eastAsia="es-ES"/>
        </w:rPr>
      </w:pPr>
      <w:r>
        <w:rPr>
          <w:rFonts w:ascii="Arial" w:eastAsia="Times New Roman" w:hAnsi="Arial" w:cs="Arial"/>
          <w:sz w:val="20"/>
          <w:szCs w:val="20"/>
          <w:lang w:val="es-ES" w:eastAsia="es-ES"/>
        </w:rPr>
        <w:br w:type="page"/>
      </w:r>
    </w:p>
    <w:p w:rsidR="0035377E" w:rsidRDefault="0035377E" w:rsidP="002D5BDD">
      <w:pPr>
        <w:pStyle w:val="Textoindependiente"/>
        <w:spacing w:after="0" w:line="240" w:lineRule="auto"/>
        <w:jc w:val="both"/>
        <w:rPr>
          <w:rFonts w:ascii="Arial" w:eastAsia="Times New Roman" w:hAnsi="Arial" w:cs="Arial"/>
          <w:sz w:val="20"/>
          <w:szCs w:val="20"/>
          <w:lang w:val="es-ES" w:eastAsia="es-ES"/>
        </w:rPr>
      </w:pPr>
    </w:p>
    <w:p w:rsidR="002D5BDD" w:rsidRPr="002D5BDD" w:rsidRDefault="002D5BDD" w:rsidP="002D5BDD">
      <w:pPr>
        <w:pStyle w:val="Textoindependiente"/>
        <w:spacing w:after="0" w:line="240" w:lineRule="auto"/>
        <w:jc w:val="both"/>
        <w:rPr>
          <w:rFonts w:ascii="Arial" w:eastAsia="Times New Roman" w:hAnsi="Arial" w:cs="Arial"/>
          <w:bCs/>
          <w:sz w:val="20"/>
          <w:szCs w:val="20"/>
          <w:lang w:eastAsia="es-CR"/>
        </w:rPr>
      </w:pPr>
      <w:r w:rsidRPr="002D5BDD">
        <w:rPr>
          <w:rFonts w:ascii="Arial" w:eastAsia="Times New Roman" w:hAnsi="Arial" w:cs="Arial"/>
          <w:bCs/>
          <w:sz w:val="20"/>
          <w:szCs w:val="20"/>
          <w:lang w:eastAsia="es-CR"/>
        </w:rPr>
        <w:t>El Programa III cuenta con un total de 25 metas, como se puede observar en el cuadro y gráfico siguiente, donde la meta se cumplió en 4 indicadores (16%), en 7 indicadores (28%) se cumplió en forma parcial y en 14 indicadores (56%) no se alcanzó la meta.</w:t>
      </w:r>
    </w:p>
    <w:p w:rsidR="002D5BDD" w:rsidRPr="002D5BDD" w:rsidRDefault="002D5BDD" w:rsidP="002D5BDD">
      <w:pPr>
        <w:pStyle w:val="Textoindependiente"/>
        <w:spacing w:after="0" w:line="240" w:lineRule="auto"/>
        <w:jc w:val="both"/>
        <w:rPr>
          <w:rFonts w:ascii="Arial" w:eastAsia="Times New Roman" w:hAnsi="Arial" w:cs="Arial"/>
          <w:bCs/>
          <w:sz w:val="20"/>
          <w:szCs w:val="20"/>
          <w:lang w:eastAsia="es-CR"/>
        </w:rPr>
      </w:pPr>
    </w:p>
    <w:p w:rsidR="002D5BDD" w:rsidRPr="002D5BDD" w:rsidRDefault="002D5BDD" w:rsidP="002D5BDD">
      <w:pPr>
        <w:pStyle w:val="Textoindependiente"/>
        <w:spacing w:after="0" w:line="240" w:lineRule="auto"/>
        <w:jc w:val="both"/>
        <w:rPr>
          <w:rFonts w:ascii="Arial" w:eastAsia="Times New Roman" w:hAnsi="Arial" w:cs="Arial"/>
          <w:bCs/>
          <w:sz w:val="20"/>
          <w:szCs w:val="20"/>
          <w:lang w:eastAsia="es-CR"/>
        </w:rPr>
      </w:pPr>
      <w:r w:rsidRPr="002D5BDD">
        <w:rPr>
          <w:rFonts w:ascii="Arial" w:eastAsia="Times New Roman" w:hAnsi="Arial" w:cs="Arial"/>
          <w:bCs/>
          <w:sz w:val="20"/>
          <w:szCs w:val="20"/>
          <w:lang w:eastAsia="es-CR"/>
        </w:rPr>
        <w:t>En el  resultado anterior inciden diferentes factores, entre los cuales se pueden mencionar el tiempo de respuesta lento por parte de instituciones (Municipalidades, Secretaría Técnica Nacional Ambiental, BANHVI), el incumplimiento en la presentación de requisitos, por parte de los beneficiarios, problemas con los terrenos  (segregación de la finca y cédulas hipotecarias), entre otros.</w:t>
      </w:r>
    </w:p>
    <w:p w:rsidR="002D5BDD" w:rsidRPr="009671EC" w:rsidRDefault="002D5BDD" w:rsidP="002D5BDD">
      <w:pPr>
        <w:pStyle w:val="Textoindependiente"/>
        <w:spacing w:after="0" w:line="240" w:lineRule="auto"/>
        <w:rPr>
          <w:rFonts w:cs="Arial"/>
          <w:bCs/>
          <w:sz w:val="20"/>
          <w:lang w:eastAsia="es-CR"/>
        </w:rPr>
      </w:pPr>
    </w:p>
    <w:p w:rsidR="002D5BDD" w:rsidRDefault="002D5BDD" w:rsidP="002D5BDD">
      <w:pPr>
        <w:pStyle w:val="Textocomentario"/>
        <w:spacing w:after="0"/>
        <w:jc w:val="both"/>
        <w:rPr>
          <w:rFonts w:ascii="Arial" w:hAnsi="Arial" w:cs="Arial"/>
          <w:bCs/>
          <w:lang w:eastAsia="es-CR"/>
        </w:rPr>
      </w:pPr>
    </w:p>
    <w:p w:rsidR="002D5BDD" w:rsidRDefault="002D5BDD" w:rsidP="002D5BDD">
      <w:pPr>
        <w:pStyle w:val="Textocomentario"/>
        <w:spacing w:after="0"/>
        <w:jc w:val="both"/>
        <w:rPr>
          <w:rFonts w:ascii="Arial" w:hAnsi="Arial" w:cs="Arial"/>
          <w:bCs/>
          <w:lang w:eastAsia="es-CR"/>
        </w:rPr>
      </w:pPr>
    </w:p>
    <w:tbl>
      <w:tblPr>
        <w:tblW w:w="7165" w:type="dxa"/>
        <w:jc w:val="center"/>
        <w:tblCellMar>
          <w:left w:w="70" w:type="dxa"/>
          <w:right w:w="70" w:type="dxa"/>
        </w:tblCellMar>
        <w:tblLook w:val="04A0" w:firstRow="1" w:lastRow="0" w:firstColumn="1" w:lastColumn="0" w:noHBand="0" w:noVBand="1"/>
      </w:tblPr>
      <w:tblGrid>
        <w:gridCol w:w="1200"/>
        <w:gridCol w:w="1419"/>
        <w:gridCol w:w="1200"/>
        <w:gridCol w:w="1386"/>
        <w:gridCol w:w="1960"/>
      </w:tblGrid>
      <w:tr w:rsidR="002D5BDD" w:rsidRPr="002D5BDD" w:rsidTr="002D5BDD">
        <w:trPr>
          <w:trHeight w:val="615"/>
          <w:jc w:val="center"/>
        </w:trPr>
        <w:tc>
          <w:tcPr>
            <w:tcW w:w="7165" w:type="dxa"/>
            <w:gridSpan w:val="5"/>
            <w:tcBorders>
              <w:top w:val="nil"/>
              <w:left w:val="nil"/>
              <w:bottom w:val="single" w:sz="4" w:space="0" w:color="auto"/>
              <w:right w:val="nil"/>
            </w:tcBorders>
            <w:shd w:val="clear" w:color="auto" w:fill="auto"/>
            <w:vAlign w:val="bottom"/>
            <w:hideMark/>
          </w:tcPr>
          <w:p w:rsidR="002D5BDD" w:rsidRPr="002D5BDD" w:rsidRDefault="002D5BDD" w:rsidP="00BC1DD5">
            <w:pPr>
              <w:spacing w:after="0" w:line="240" w:lineRule="auto"/>
              <w:jc w:val="center"/>
              <w:rPr>
                <w:rFonts w:ascii="Arial" w:hAnsi="Arial" w:cs="Arial"/>
                <w:b/>
                <w:bCs/>
                <w:sz w:val="20"/>
                <w:szCs w:val="20"/>
                <w:lang w:eastAsia="es-CR"/>
              </w:rPr>
            </w:pPr>
            <w:r w:rsidRPr="002D5BDD">
              <w:rPr>
                <w:rFonts w:ascii="Arial" w:hAnsi="Arial" w:cs="Arial"/>
                <w:b/>
                <w:bCs/>
                <w:sz w:val="20"/>
                <w:szCs w:val="20"/>
                <w:lang w:eastAsia="es-CR"/>
              </w:rPr>
              <w:t>Cuadro 1</w:t>
            </w:r>
            <w:r w:rsidR="00BC1DD5">
              <w:rPr>
                <w:rFonts w:ascii="Arial" w:hAnsi="Arial" w:cs="Arial"/>
                <w:b/>
                <w:bCs/>
                <w:sz w:val="20"/>
                <w:szCs w:val="20"/>
                <w:lang w:eastAsia="es-CR"/>
              </w:rPr>
              <w:t>0</w:t>
            </w:r>
            <w:r w:rsidRPr="002D5BDD">
              <w:rPr>
                <w:rFonts w:ascii="Arial" w:hAnsi="Arial" w:cs="Arial"/>
                <w:b/>
                <w:bCs/>
                <w:sz w:val="20"/>
                <w:szCs w:val="20"/>
                <w:lang w:eastAsia="es-CR"/>
              </w:rPr>
              <w:t xml:space="preserve"> Comportamiento de las Metas del Programa III</w:t>
            </w:r>
            <w:r w:rsidRPr="002D5BDD">
              <w:rPr>
                <w:rFonts w:ascii="Arial" w:hAnsi="Arial" w:cs="Arial"/>
                <w:b/>
                <w:bCs/>
                <w:sz w:val="20"/>
                <w:szCs w:val="20"/>
                <w:lang w:eastAsia="es-CR"/>
              </w:rPr>
              <w:br/>
              <w:t>Enero - diciembre 2017</w:t>
            </w:r>
          </w:p>
        </w:tc>
      </w:tr>
      <w:tr w:rsidR="002D5BDD" w:rsidRPr="002D5BDD" w:rsidTr="002D5BDD">
        <w:trPr>
          <w:trHeight w:val="300"/>
          <w:jc w:val="center"/>
        </w:trPr>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2D5BDD" w:rsidRPr="002D5BDD" w:rsidRDefault="002D5BDD" w:rsidP="002D5BDD">
            <w:pPr>
              <w:spacing w:after="0" w:line="240" w:lineRule="auto"/>
              <w:jc w:val="center"/>
              <w:rPr>
                <w:rFonts w:ascii="Arial" w:hAnsi="Arial" w:cs="Arial"/>
                <w:b/>
                <w:bCs/>
                <w:sz w:val="20"/>
                <w:szCs w:val="20"/>
                <w:lang w:eastAsia="es-CR"/>
              </w:rPr>
            </w:pPr>
            <w:r w:rsidRPr="002D5BDD">
              <w:rPr>
                <w:rFonts w:ascii="Arial" w:hAnsi="Arial" w:cs="Arial"/>
                <w:b/>
                <w:bCs/>
                <w:sz w:val="20"/>
                <w:szCs w:val="20"/>
                <w:lang w:eastAsia="es-CR"/>
              </w:rPr>
              <w:t>Valor / Metas</w:t>
            </w:r>
          </w:p>
        </w:tc>
        <w:tc>
          <w:tcPr>
            <w:tcW w:w="5965" w:type="dxa"/>
            <w:gridSpan w:val="4"/>
            <w:tcBorders>
              <w:top w:val="single" w:sz="4" w:space="0" w:color="auto"/>
              <w:left w:val="nil"/>
              <w:bottom w:val="single" w:sz="4" w:space="0" w:color="auto"/>
              <w:right w:val="single" w:sz="4" w:space="0" w:color="auto"/>
            </w:tcBorders>
            <w:shd w:val="clear" w:color="auto" w:fill="auto"/>
            <w:vAlign w:val="bottom"/>
            <w:hideMark/>
          </w:tcPr>
          <w:p w:rsidR="002D5BDD" w:rsidRPr="002D5BDD" w:rsidRDefault="002D5BDD" w:rsidP="002D5BDD">
            <w:pPr>
              <w:spacing w:after="0" w:line="240" w:lineRule="auto"/>
              <w:jc w:val="center"/>
              <w:rPr>
                <w:rFonts w:ascii="Arial" w:hAnsi="Arial" w:cs="Arial"/>
                <w:b/>
                <w:bCs/>
                <w:sz w:val="20"/>
                <w:szCs w:val="20"/>
                <w:lang w:eastAsia="es-CR"/>
              </w:rPr>
            </w:pPr>
            <w:r w:rsidRPr="002D5BDD">
              <w:rPr>
                <w:rFonts w:ascii="Arial" w:hAnsi="Arial" w:cs="Arial"/>
                <w:b/>
                <w:bCs/>
                <w:sz w:val="20"/>
                <w:szCs w:val="20"/>
                <w:lang w:eastAsia="es-CR"/>
              </w:rPr>
              <w:t>Metas</w:t>
            </w:r>
          </w:p>
        </w:tc>
      </w:tr>
      <w:tr w:rsidR="002D5BDD" w:rsidRPr="002D5BDD" w:rsidTr="002D5BDD">
        <w:trPr>
          <w:trHeight w:val="510"/>
          <w:jc w:val="center"/>
        </w:trPr>
        <w:tc>
          <w:tcPr>
            <w:tcW w:w="1200" w:type="dxa"/>
            <w:vMerge/>
            <w:tcBorders>
              <w:top w:val="nil"/>
              <w:left w:val="single" w:sz="4" w:space="0" w:color="auto"/>
              <w:bottom w:val="single" w:sz="4" w:space="0" w:color="auto"/>
              <w:right w:val="single" w:sz="4" w:space="0" w:color="auto"/>
            </w:tcBorders>
            <w:vAlign w:val="center"/>
            <w:hideMark/>
          </w:tcPr>
          <w:p w:rsidR="002D5BDD" w:rsidRPr="002D5BDD" w:rsidRDefault="002D5BDD" w:rsidP="002D5BDD">
            <w:pPr>
              <w:spacing w:after="0" w:line="240" w:lineRule="auto"/>
              <w:rPr>
                <w:rFonts w:ascii="Arial" w:hAnsi="Arial" w:cs="Arial"/>
                <w:b/>
                <w:bCs/>
                <w:sz w:val="20"/>
                <w:szCs w:val="20"/>
                <w:lang w:eastAsia="es-CR"/>
              </w:rPr>
            </w:pPr>
          </w:p>
        </w:tc>
        <w:tc>
          <w:tcPr>
            <w:tcW w:w="1419" w:type="dxa"/>
            <w:tcBorders>
              <w:top w:val="nil"/>
              <w:left w:val="nil"/>
              <w:bottom w:val="single" w:sz="4" w:space="0" w:color="auto"/>
              <w:right w:val="single" w:sz="4" w:space="0" w:color="auto"/>
            </w:tcBorders>
            <w:shd w:val="clear" w:color="auto" w:fill="auto"/>
            <w:vAlign w:val="center"/>
            <w:hideMark/>
          </w:tcPr>
          <w:p w:rsidR="002D5BDD" w:rsidRPr="002D5BDD" w:rsidRDefault="002D5BDD" w:rsidP="002D5BDD">
            <w:pPr>
              <w:spacing w:after="0" w:line="240" w:lineRule="auto"/>
              <w:jc w:val="center"/>
              <w:rPr>
                <w:rFonts w:ascii="Arial" w:hAnsi="Arial" w:cs="Arial"/>
                <w:b/>
                <w:bCs/>
                <w:sz w:val="20"/>
                <w:szCs w:val="20"/>
                <w:lang w:eastAsia="es-CR"/>
              </w:rPr>
            </w:pPr>
            <w:r w:rsidRPr="002D5BDD">
              <w:rPr>
                <w:rFonts w:ascii="Arial" w:hAnsi="Arial" w:cs="Arial"/>
                <w:b/>
                <w:bCs/>
                <w:sz w:val="20"/>
                <w:szCs w:val="20"/>
                <w:lang w:eastAsia="es-CR"/>
              </w:rPr>
              <w:t>Programadas</w:t>
            </w:r>
          </w:p>
        </w:tc>
        <w:tc>
          <w:tcPr>
            <w:tcW w:w="1200" w:type="dxa"/>
            <w:tcBorders>
              <w:top w:val="nil"/>
              <w:left w:val="nil"/>
              <w:bottom w:val="single" w:sz="4" w:space="0" w:color="auto"/>
              <w:right w:val="single" w:sz="4" w:space="0" w:color="auto"/>
            </w:tcBorders>
            <w:shd w:val="clear" w:color="auto" w:fill="auto"/>
            <w:vAlign w:val="center"/>
            <w:hideMark/>
          </w:tcPr>
          <w:p w:rsidR="002D5BDD" w:rsidRPr="002D5BDD" w:rsidRDefault="002D5BDD" w:rsidP="002D5BDD">
            <w:pPr>
              <w:spacing w:after="0" w:line="240" w:lineRule="auto"/>
              <w:jc w:val="center"/>
              <w:rPr>
                <w:rFonts w:ascii="Arial" w:hAnsi="Arial" w:cs="Arial"/>
                <w:b/>
                <w:bCs/>
                <w:sz w:val="20"/>
                <w:szCs w:val="20"/>
                <w:lang w:eastAsia="es-CR"/>
              </w:rPr>
            </w:pPr>
            <w:r w:rsidRPr="002D5BDD">
              <w:rPr>
                <w:rFonts w:ascii="Arial" w:hAnsi="Arial" w:cs="Arial"/>
                <w:b/>
                <w:bCs/>
                <w:sz w:val="20"/>
                <w:szCs w:val="20"/>
                <w:lang w:eastAsia="es-CR"/>
              </w:rPr>
              <w:t>Cumplidas</w:t>
            </w:r>
          </w:p>
        </w:tc>
        <w:tc>
          <w:tcPr>
            <w:tcW w:w="1386" w:type="dxa"/>
            <w:tcBorders>
              <w:top w:val="nil"/>
              <w:left w:val="nil"/>
              <w:bottom w:val="single" w:sz="4" w:space="0" w:color="auto"/>
              <w:right w:val="single" w:sz="4" w:space="0" w:color="auto"/>
            </w:tcBorders>
            <w:shd w:val="clear" w:color="auto" w:fill="auto"/>
            <w:vAlign w:val="center"/>
            <w:hideMark/>
          </w:tcPr>
          <w:p w:rsidR="002D5BDD" w:rsidRPr="002D5BDD" w:rsidRDefault="002D5BDD" w:rsidP="002D5BDD">
            <w:pPr>
              <w:spacing w:after="0" w:line="240" w:lineRule="auto"/>
              <w:jc w:val="center"/>
              <w:rPr>
                <w:rFonts w:ascii="Arial" w:hAnsi="Arial" w:cs="Arial"/>
                <w:b/>
                <w:bCs/>
                <w:sz w:val="20"/>
                <w:szCs w:val="20"/>
                <w:lang w:eastAsia="es-CR"/>
              </w:rPr>
            </w:pPr>
            <w:r w:rsidRPr="002D5BDD">
              <w:rPr>
                <w:rFonts w:ascii="Arial" w:hAnsi="Arial" w:cs="Arial"/>
                <w:b/>
                <w:bCs/>
                <w:sz w:val="20"/>
                <w:szCs w:val="20"/>
                <w:lang w:eastAsia="es-CR"/>
              </w:rPr>
              <w:t>Parcialmente</w:t>
            </w:r>
          </w:p>
          <w:p w:rsidR="002D5BDD" w:rsidRPr="002D5BDD" w:rsidRDefault="002D5BDD" w:rsidP="002D5BDD">
            <w:pPr>
              <w:spacing w:after="0" w:line="240" w:lineRule="auto"/>
              <w:jc w:val="center"/>
              <w:rPr>
                <w:rFonts w:ascii="Arial" w:hAnsi="Arial" w:cs="Arial"/>
                <w:b/>
                <w:bCs/>
                <w:sz w:val="20"/>
                <w:szCs w:val="20"/>
                <w:lang w:eastAsia="es-CR"/>
              </w:rPr>
            </w:pPr>
            <w:r w:rsidRPr="002D5BDD">
              <w:rPr>
                <w:rFonts w:ascii="Arial" w:hAnsi="Arial" w:cs="Arial"/>
                <w:b/>
                <w:bCs/>
                <w:sz w:val="20"/>
                <w:szCs w:val="20"/>
                <w:lang w:eastAsia="es-CR"/>
              </w:rPr>
              <w:t>Cumplidas</w:t>
            </w:r>
          </w:p>
        </w:tc>
        <w:tc>
          <w:tcPr>
            <w:tcW w:w="1960" w:type="dxa"/>
            <w:tcBorders>
              <w:top w:val="nil"/>
              <w:left w:val="nil"/>
              <w:bottom w:val="single" w:sz="4" w:space="0" w:color="auto"/>
              <w:right w:val="single" w:sz="4" w:space="0" w:color="auto"/>
            </w:tcBorders>
            <w:shd w:val="clear" w:color="auto" w:fill="auto"/>
            <w:vAlign w:val="center"/>
            <w:hideMark/>
          </w:tcPr>
          <w:p w:rsidR="002D5BDD" w:rsidRPr="002D5BDD" w:rsidRDefault="002D5BDD" w:rsidP="002D5BDD">
            <w:pPr>
              <w:spacing w:after="0" w:line="240" w:lineRule="auto"/>
              <w:jc w:val="center"/>
              <w:rPr>
                <w:rFonts w:ascii="Arial" w:hAnsi="Arial" w:cs="Arial"/>
                <w:b/>
                <w:bCs/>
                <w:sz w:val="20"/>
                <w:szCs w:val="20"/>
                <w:lang w:eastAsia="es-CR"/>
              </w:rPr>
            </w:pPr>
            <w:r w:rsidRPr="002D5BDD">
              <w:rPr>
                <w:rFonts w:ascii="Arial" w:hAnsi="Arial" w:cs="Arial"/>
                <w:b/>
                <w:bCs/>
                <w:sz w:val="20"/>
                <w:szCs w:val="20"/>
                <w:lang w:eastAsia="es-CR"/>
              </w:rPr>
              <w:t>Incumplidas</w:t>
            </w:r>
          </w:p>
        </w:tc>
      </w:tr>
      <w:tr w:rsidR="002D5BDD" w:rsidRPr="002D5BDD" w:rsidTr="002D5BDD">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D5BDD" w:rsidRPr="002D5BDD" w:rsidRDefault="002D5BDD" w:rsidP="002D5BDD">
            <w:pPr>
              <w:spacing w:after="0" w:line="240" w:lineRule="auto"/>
              <w:rPr>
                <w:rFonts w:ascii="Arial" w:hAnsi="Arial" w:cs="Arial"/>
                <w:sz w:val="20"/>
                <w:szCs w:val="20"/>
                <w:lang w:eastAsia="es-CR"/>
              </w:rPr>
            </w:pPr>
            <w:r w:rsidRPr="002D5BDD">
              <w:rPr>
                <w:rFonts w:ascii="Arial" w:hAnsi="Arial" w:cs="Arial"/>
                <w:sz w:val="20"/>
                <w:szCs w:val="20"/>
                <w:lang w:eastAsia="es-CR"/>
              </w:rPr>
              <w:t xml:space="preserve">Absoluto </w:t>
            </w:r>
          </w:p>
        </w:tc>
        <w:tc>
          <w:tcPr>
            <w:tcW w:w="1419" w:type="dxa"/>
            <w:tcBorders>
              <w:top w:val="nil"/>
              <w:left w:val="nil"/>
              <w:bottom w:val="single" w:sz="4" w:space="0" w:color="auto"/>
              <w:right w:val="single" w:sz="4" w:space="0" w:color="auto"/>
            </w:tcBorders>
            <w:shd w:val="clear" w:color="auto" w:fill="auto"/>
            <w:noWrap/>
            <w:vAlign w:val="bottom"/>
          </w:tcPr>
          <w:p w:rsidR="002D5BDD" w:rsidRPr="002D5BDD" w:rsidRDefault="002D5BDD" w:rsidP="002D5BDD">
            <w:pPr>
              <w:spacing w:after="0" w:line="240" w:lineRule="auto"/>
              <w:jc w:val="center"/>
              <w:rPr>
                <w:rFonts w:ascii="Arial" w:hAnsi="Arial" w:cs="Arial"/>
                <w:color w:val="000000"/>
                <w:sz w:val="20"/>
                <w:szCs w:val="20"/>
              </w:rPr>
            </w:pPr>
            <w:r w:rsidRPr="002D5BDD">
              <w:rPr>
                <w:rFonts w:ascii="Arial" w:hAnsi="Arial" w:cs="Arial"/>
                <w:color w:val="000000"/>
                <w:sz w:val="20"/>
                <w:szCs w:val="20"/>
              </w:rPr>
              <w:t>25</w:t>
            </w:r>
          </w:p>
        </w:tc>
        <w:tc>
          <w:tcPr>
            <w:tcW w:w="1200" w:type="dxa"/>
            <w:tcBorders>
              <w:top w:val="nil"/>
              <w:left w:val="nil"/>
              <w:bottom w:val="single" w:sz="4" w:space="0" w:color="auto"/>
              <w:right w:val="single" w:sz="4" w:space="0" w:color="auto"/>
            </w:tcBorders>
            <w:shd w:val="clear" w:color="auto" w:fill="auto"/>
            <w:noWrap/>
            <w:vAlign w:val="bottom"/>
          </w:tcPr>
          <w:p w:rsidR="002D5BDD" w:rsidRPr="002D5BDD" w:rsidRDefault="002D5BDD" w:rsidP="002D5BDD">
            <w:pPr>
              <w:spacing w:after="0" w:line="240" w:lineRule="auto"/>
              <w:jc w:val="center"/>
              <w:rPr>
                <w:rFonts w:ascii="Arial" w:hAnsi="Arial" w:cs="Arial"/>
                <w:color w:val="000000"/>
                <w:sz w:val="20"/>
                <w:szCs w:val="20"/>
              </w:rPr>
            </w:pPr>
            <w:r w:rsidRPr="002D5BDD">
              <w:rPr>
                <w:rFonts w:ascii="Arial" w:hAnsi="Arial" w:cs="Arial"/>
                <w:color w:val="000000"/>
                <w:sz w:val="20"/>
                <w:szCs w:val="20"/>
              </w:rPr>
              <w:t>4</w:t>
            </w:r>
          </w:p>
        </w:tc>
        <w:tc>
          <w:tcPr>
            <w:tcW w:w="1386" w:type="dxa"/>
            <w:tcBorders>
              <w:top w:val="nil"/>
              <w:left w:val="nil"/>
              <w:bottom w:val="single" w:sz="4" w:space="0" w:color="auto"/>
              <w:right w:val="single" w:sz="4" w:space="0" w:color="auto"/>
            </w:tcBorders>
            <w:shd w:val="clear" w:color="auto" w:fill="auto"/>
            <w:noWrap/>
            <w:vAlign w:val="bottom"/>
          </w:tcPr>
          <w:p w:rsidR="002D5BDD" w:rsidRPr="002D5BDD" w:rsidRDefault="002D5BDD" w:rsidP="002D5BDD">
            <w:pPr>
              <w:spacing w:after="0" w:line="240" w:lineRule="auto"/>
              <w:jc w:val="center"/>
              <w:rPr>
                <w:rFonts w:ascii="Arial" w:hAnsi="Arial" w:cs="Arial"/>
                <w:color w:val="000000"/>
                <w:sz w:val="20"/>
                <w:szCs w:val="20"/>
              </w:rPr>
            </w:pPr>
            <w:r w:rsidRPr="002D5BDD">
              <w:rPr>
                <w:rFonts w:ascii="Arial" w:hAnsi="Arial" w:cs="Arial"/>
                <w:color w:val="000000"/>
                <w:sz w:val="20"/>
                <w:szCs w:val="20"/>
              </w:rPr>
              <w:t>7</w:t>
            </w:r>
          </w:p>
        </w:tc>
        <w:tc>
          <w:tcPr>
            <w:tcW w:w="1960" w:type="dxa"/>
            <w:tcBorders>
              <w:top w:val="nil"/>
              <w:left w:val="nil"/>
              <w:bottom w:val="single" w:sz="4" w:space="0" w:color="auto"/>
              <w:right w:val="single" w:sz="4" w:space="0" w:color="auto"/>
            </w:tcBorders>
            <w:shd w:val="clear" w:color="auto" w:fill="auto"/>
            <w:noWrap/>
            <w:vAlign w:val="bottom"/>
          </w:tcPr>
          <w:p w:rsidR="002D5BDD" w:rsidRPr="002D5BDD" w:rsidRDefault="002D5BDD" w:rsidP="002D5BDD">
            <w:pPr>
              <w:spacing w:after="0" w:line="240" w:lineRule="auto"/>
              <w:jc w:val="center"/>
              <w:rPr>
                <w:rFonts w:ascii="Arial" w:hAnsi="Arial" w:cs="Arial"/>
                <w:color w:val="000000"/>
                <w:sz w:val="20"/>
                <w:szCs w:val="20"/>
              </w:rPr>
            </w:pPr>
            <w:r w:rsidRPr="002D5BDD">
              <w:rPr>
                <w:rFonts w:ascii="Arial" w:hAnsi="Arial" w:cs="Arial"/>
                <w:color w:val="000000"/>
                <w:sz w:val="20"/>
                <w:szCs w:val="20"/>
              </w:rPr>
              <w:t>14</w:t>
            </w:r>
          </w:p>
        </w:tc>
      </w:tr>
      <w:tr w:rsidR="002D5BDD" w:rsidRPr="002D5BDD" w:rsidTr="002D5BDD">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D5BDD" w:rsidRPr="002D5BDD" w:rsidRDefault="002D5BDD" w:rsidP="002D5BDD">
            <w:pPr>
              <w:spacing w:after="0" w:line="240" w:lineRule="auto"/>
              <w:rPr>
                <w:rFonts w:ascii="Arial" w:hAnsi="Arial" w:cs="Arial"/>
                <w:sz w:val="20"/>
                <w:szCs w:val="20"/>
                <w:lang w:eastAsia="es-CR"/>
              </w:rPr>
            </w:pPr>
            <w:r w:rsidRPr="002D5BDD">
              <w:rPr>
                <w:rFonts w:ascii="Arial" w:hAnsi="Arial" w:cs="Arial"/>
                <w:sz w:val="20"/>
                <w:szCs w:val="20"/>
                <w:lang w:eastAsia="es-CR"/>
              </w:rPr>
              <w:t>Porcentual</w:t>
            </w:r>
          </w:p>
        </w:tc>
        <w:tc>
          <w:tcPr>
            <w:tcW w:w="1419" w:type="dxa"/>
            <w:tcBorders>
              <w:top w:val="nil"/>
              <w:left w:val="nil"/>
              <w:bottom w:val="single" w:sz="4" w:space="0" w:color="auto"/>
              <w:right w:val="single" w:sz="4" w:space="0" w:color="auto"/>
            </w:tcBorders>
            <w:shd w:val="clear" w:color="auto" w:fill="auto"/>
            <w:noWrap/>
            <w:vAlign w:val="bottom"/>
          </w:tcPr>
          <w:p w:rsidR="002D5BDD" w:rsidRPr="002D5BDD" w:rsidRDefault="002D5BDD" w:rsidP="002D5BDD">
            <w:pPr>
              <w:spacing w:after="0" w:line="240" w:lineRule="auto"/>
              <w:jc w:val="center"/>
              <w:rPr>
                <w:rFonts w:ascii="Arial" w:hAnsi="Arial" w:cs="Arial"/>
                <w:color w:val="000000"/>
                <w:sz w:val="20"/>
                <w:szCs w:val="20"/>
              </w:rPr>
            </w:pPr>
            <w:r w:rsidRPr="002D5BDD">
              <w:rPr>
                <w:rFonts w:ascii="Arial" w:hAnsi="Arial" w:cs="Arial"/>
                <w:color w:val="000000"/>
                <w:sz w:val="20"/>
                <w:szCs w:val="20"/>
              </w:rPr>
              <w:t>100%</w:t>
            </w:r>
          </w:p>
        </w:tc>
        <w:tc>
          <w:tcPr>
            <w:tcW w:w="1200" w:type="dxa"/>
            <w:tcBorders>
              <w:top w:val="nil"/>
              <w:left w:val="nil"/>
              <w:bottom w:val="single" w:sz="4" w:space="0" w:color="auto"/>
              <w:right w:val="single" w:sz="4" w:space="0" w:color="auto"/>
            </w:tcBorders>
            <w:shd w:val="clear" w:color="auto" w:fill="auto"/>
            <w:noWrap/>
            <w:vAlign w:val="bottom"/>
          </w:tcPr>
          <w:p w:rsidR="002D5BDD" w:rsidRPr="002D5BDD" w:rsidRDefault="002D5BDD" w:rsidP="002D5BDD">
            <w:pPr>
              <w:spacing w:after="0" w:line="240" w:lineRule="auto"/>
              <w:jc w:val="center"/>
              <w:rPr>
                <w:rFonts w:ascii="Arial" w:hAnsi="Arial" w:cs="Arial"/>
                <w:color w:val="000000"/>
                <w:sz w:val="20"/>
                <w:szCs w:val="20"/>
              </w:rPr>
            </w:pPr>
            <w:r w:rsidRPr="002D5BDD">
              <w:rPr>
                <w:rFonts w:ascii="Arial" w:hAnsi="Arial" w:cs="Arial"/>
                <w:color w:val="000000"/>
                <w:sz w:val="20"/>
                <w:szCs w:val="20"/>
              </w:rPr>
              <w:t>16%</w:t>
            </w:r>
          </w:p>
        </w:tc>
        <w:tc>
          <w:tcPr>
            <w:tcW w:w="1386" w:type="dxa"/>
            <w:tcBorders>
              <w:top w:val="nil"/>
              <w:left w:val="nil"/>
              <w:bottom w:val="single" w:sz="4" w:space="0" w:color="auto"/>
              <w:right w:val="single" w:sz="4" w:space="0" w:color="auto"/>
            </w:tcBorders>
            <w:shd w:val="clear" w:color="auto" w:fill="auto"/>
            <w:noWrap/>
            <w:vAlign w:val="bottom"/>
          </w:tcPr>
          <w:p w:rsidR="002D5BDD" w:rsidRPr="002D5BDD" w:rsidRDefault="002D5BDD" w:rsidP="002D5BDD">
            <w:pPr>
              <w:spacing w:after="0" w:line="240" w:lineRule="auto"/>
              <w:jc w:val="center"/>
              <w:rPr>
                <w:rFonts w:ascii="Arial" w:hAnsi="Arial" w:cs="Arial"/>
                <w:color w:val="000000"/>
                <w:sz w:val="20"/>
                <w:szCs w:val="20"/>
              </w:rPr>
            </w:pPr>
            <w:r w:rsidRPr="002D5BDD">
              <w:rPr>
                <w:rFonts w:ascii="Arial" w:hAnsi="Arial" w:cs="Arial"/>
                <w:color w:val="000000"/>
                <w:sz w:val="20"/>
                <w:szCs w:val="20"/>
              </w:rPr>
              <w:t>28%</w:t>
            </w:r>
          </w:p>
        </w:tc>
        <w:tc>
          <w:tcPr>
            <w:tcW w:w="1960" w:type="dxa"/>
            <w:tcBorders>
              <w:top w:val="nil"/>
              <w:left w:val="nil"/>
              <w:bottom w:val="single" w:sz="4" w:space="0" w:color="auto"/>
              <w:right w:val="single" w:sz="4" w:space="0" w:color="auto"/>
            </w:tcBorders>
            <w:shd w:val="clear" w:color="auto" w:fill="auto"/>
            <w:noWrap/>
            <w:vAlign w:val="bottom"/>
          </w:tcPr>
          <w:p w:rsidR="002D5BDD" w:rsidRPr="002D5BDD" w:rsidRDefault="002D5BDD" w:rsidP="002D5BDD">
            <w:pPr>
              <w:spacing w:after="0" w:line="240" w:lineRule="auto"/>
              <w:jc w:val="center"/>
              <w:rPr>
                <w:rFonts w:ascii="Arial" w:hAnsi="Arial" w:cs="Arial"/>
                <w:color w:val="000000"/>
                <w:sz w:val="20"/>
                <w:szCs w:val="20"/>
              </w:rPr>
            </w:pPr>
            <w:r w:rsidRPr="002D5BDD">
              <w:rPr>
                <w:rFonts w:ascii="Arial" w:hAnsi="Arial" w:cs="Arial"/>
                <w:color w:val="000000"/>
                <w:sz w:val="20"/>
                <w:szCs w:val="20"/>
              </w:rPr>
              <w:t>56%</w:t>
            </w:r>
          </w:p>
        </w:tc>
      </w:tr>
      <w:tr w:rsidR="002D5BDD" w:rsidRPr="002D5BDD" w:rsidTr="002D5BDD">
        <w:trPr>
          <w:trHeight w:val="300"/>
          <w:jc w:val="center"/>
        </w:trPr>
        <w:tc>
          <w:tcPr>
            <w:tcW w:w="7165" w:type="dxa"/>
            <w:gridSpan w:val="5"/>
            <w:tcBorders>
              <w:top w:val="nil"/>
              <w:left w:val="nil"/>
              <w:bottom w:val="nil"/>
              <w:right w:val="nil"/>
            </w:tcBorders>
            <w:shd w:val="clear" w:color="auto" w:fill="auto"/>
            <w:noWrap/>
            <w:vAlign w:val="bottom"/>
            <w:hideMark/>
          </w:tcPr>
          <w:p w:rsidR="002D5BDD" w:rsidRPr="002D5BDD" w:rsidRDefault="002D5BDD" w:rsidP="002D5BDD">
            <w:pPr>
              <w:spacing w:after="0" w:line="240" w:lineRule="auto"/>
              <w:rPr>
                <w:rFonts w:ascii="Arial" w:hAnsi="Arial" w:cs="Arial"/>
                <w:sz w:val="20"/>
                <w:szCs w:val="20"/>
                <w:lang w:eastAsia="es-CR"/>
              </w:rPr>
            </w:pPr>
            <w:r w:rsidRPr="002D5BDD">
              <w:rPr>
                <w:rFonts w:ascii="Arial" w:hAnsi="Arial" w:cs="Arial"/>
                <w:sz w:val="20"/>
                <w:szCs w:val="20"/>
                <w:lang w:eastAsia="es-CR"/>
              </w:rPr>
              <w:t>Fuente: Informe de rendimiento de cuentas del área. (2017)</w:t>
            </w:r>
          </w:p>
        </w:tc>
      </w:tr>
    </w:tbl>
    <w:p w:rsidR="002D5BDD" w:rsidRDefault="002D5BDD" w:rsidP="002D5BDD">
      <w:pPr>
        <w:spacing w:after="0" w:line="240" w:lineRule="auto"/>
      </w:pPr>
    </w:p>
    <w:p w:rsidR="002D5BDD" w:rsidRDefault="002D5BDD" w:rsidP="002D5BDD">
      <w:pPr>
        <w:spacing w:after="0" w:line="240" w:lineRule="auto"/>
        <w:ind w:left="719"/>
        <w:jc w:val="both"/>
        <w:rPr>
          <w:rFonts w:ascii="Arial" w:hAnsi="Arial" w:cs="Arial"/>
          <w:color w:val="4F81BD"/>
        </w:rPr>
      </w:pPr>
    </w:p>
    <w:p w:rsidR="002D5BDD" w:rsidRDefault="002D5BDD" w:rsidP="002D5BDD">
      <w:pPr>
        <w:spacing w:after="0" w:line="240" w:lineRule="auto"/>
        <w:ind w:left="719"/>
        <w:jc w:val="both"/>
        <w:rPr>
          <w:rFonts w:ascii="Arial" w:hAnsi="Arial" w:cs="Arial"/>
          <w:color w:val="4F81BD"/>
        </w:rPr>
      </w:pPr>
    </w:p>
    <w:p w:rsidR="002D5BDD" w:rsidRDefault="002D5BDD" w:rsidP="002D5BDD">
      <w:pPr>
        <w:spacing w:after="0" w:line="240" w:lineRule="auto"/>
        <w:jc w:val="center"/>
      </w:pPr>
      <w:r>
        <w:fldChar w:fldCharType="begin"/>
      </w:r>
      <w:r>
        <w:instrText xml:space="preserve"> LINK Excel.Sheet.12 "" "" \a \p </w:instrText>
      </w:r>
      <w:r>
        <w:fldChar w:fldCharType="separate"/>
      </w:r>
      <w:r w:rsidR="00C16C06">
        <w:object w:dxaOrig="11091" w:dyaOrig="5756">
          <v:shape id="_x0000_i1069" type="#_x0000_t75" style="width:373.45pt;height:193.8pt" o:ole="">
            <v:imagedata r:id="rId22" o:title=""/>
          </v:shape>
        </w:object>
      </w:r>
      <w:r>
        <w:fldChar w:fldCharType="end"/>
      </w:r>
    </w:p>
    <w:p w:rsidR="002D5BDD" w:rsidRDefault="002D5BDD" w:rsidP="002D5BDD">
      <w:pPr>
        <w:spacing w:after="0" w:line="240" w:lineRule="auto"/>
        <w:jc w:val="both"/>
        <w:rPr>
          <w:rFonts w:ascii="Arial" w:hAnsi="Arial" w:cs="Arial"/>
          <w:color w:val="000000"/>
          <w:sz w:val="18"/>
          <w:szCs w:val="18"/>
          <w:lang w:eastAsia="es-CR"/>
        </w:rPr>
      </w:pPr>
      <w:r>
        <w:rPr>
          <w:rFonts w:ascii="Arial" w:hAnsi="Arial" w:cs="Arial"/>
          <w:color w:val="000000"/>
          <w:sz w:val="18"/>
          <w:szCs w:val="18"/>
          <w:lang w:eastAsia="es-CR"/>
        </w:rPr>
        <w:t xml:space="preserve">                </w:t>
      </w:r>
    </w:p>
    <w:p w:rsidR="002D5BDD" w:rsidRPr="006F15AC" w:rsidRDefault="002D5BDD" w:rsidP="002D5BDD">
      <w:pPr>
        <w:spacing w:after="0" w:line="240" w:lineRule="auto"/>
        <w:jc w:val="both"/>
        <w:rPr>
          <w:rFonts w:ascii="Arial" w:hAnsi="Arial" w:cs="Arial"/>
          <w:color w:val="4F81BD"/>
        </w:rPr>
      </w:pPr>
      <w:r>
        <w:rPr>
          <w:rFonts w:ascii="Arial" w:hAnsi="Arial" w:cs="Arial"/>
          <w:color w:val="000000"/>
          <w:sz w:val="18"/>
          <w:szCs w:val="18"/>
          <w:lang w:eastAsia="es-CR"/>
        </w:rPr>
        <w:t xml:space="preserve">             </w:t>
      </w:r>
      <w:r w:rsidR="00FC7F4D">
        <w:rPr>
          <w:rFonts w:ascii="Arial" w:hAnsi="Arial" w:cs="Arial"/>
          <w:color w:val="000000"/>
          <w:sz w:val="18"/>
          <w:szCs w:val="18"/>
          <w:lang w:eastAsia="es-CR"/>
        </w:rPr>
        <w:t xml:space="preserve">  </w:t>
      </w:r>
      <w:r w:rsidR="001E2626">
        <w:rPr>
          <w:rFonts w:ascii="Arial" w:hAnsi="Arial" w:cs="Arial"/>
          <w:color w:val="000000"/>
          <w:sz w:val="18"/>
          <w:szCs w:val="18"/>
          <w:lang w:eastAsia="es-CR"/>
        </w:rPr>
        <w:t xml:space="preserve">  </w:t>
      </w:r>
      <w:r>
        <w:rPr>
          <w:rFonts w:ascii="Arial" w:hAnsi="Arial" w:cs="Arial"/>
          <w:color w:val="000000"/>
          <w:sz w:val="18"/>
          <w:szCs w:val="18"/>
          <w:lang w:eastAsia="es-CR"/>
        </w:rPr>
        <w:t xml:space="preserve">  </w:t>
      </w:r>
      <w:r w:rsidRPr="00F41FD7">
        <w:rPr>
          <w:rFonts w:ascii="Arial" w:hAnsi="Arial" w:cs="Arial"/>
          <w:color w:val="000000"/>
          <w:sz w:val="18"/>
          <w:szCs w:val="18"/>
          <w:lang w:eastAsia="es-CR"/>
        </w:rPr>
        <w:t>Fuente: Informe de rendimiento de cuentas del área. (201</w:t>
      </w:r>
      <w:r>
        <w:rPr>
          <w:rFonts w:ascii="Arial" w:hAnsi="Arial" w:cs="Arial"/>
          <w:color w:val="000000"/>
          <w:sz w:val="18"/>
          <w:szCs w:val="18"/>
          <w:lang w:eastAsia="es-CR"/>
        </w:rPr>
        <w:t>7</w:t>
      </w:r>
      <w:r w:rsidRPr="00F41FD7">
        <w:rPr>
          <w:rFonts w:ascii="Arial" w:hAnsi="Arial" w:cs="Arial"/>
          <w:color w:val="000000"/>
          <w:sz w:val="18"/>
          <w:szCs w:val="18"/>
          <w:lang w:eastAsia="es-CR"/>
        </w:rPr>
        <w:t>)</w:t>
      </w:r>
    </w:p>
    <w:p w:rsidR="002D5BDD" w:rsidRPr="006F15AC" w:rsidRDefault="002D5BDD" w:rsidP="002D5BDD">
      <w:pPr>
        <w:ind w:left="719"/>
        <w:jc w:val="both"/>
        <w:rPr>
          <w:rFonts w:ascii="Arial" w:hAnsi="Arial" w:cs="Arial"/>
          <w:color w:val="4F81BD"/>
        </w:rPr>
      </w:pPr>
    </w:p>
    <w:p w:rsidR="002D5BDD" w:rsidRDefault="002D5BDD" w:rsidP="002D5BDD">
      <w:pPr>
        <w:pStyle w:val="Textoindependiente"/>
        <w:rPr>
          <w:rFonts w:cs="Arial"/>
          <w:bCs/>
          <w:color w:val="000000"/>
          <w:sz w:val="18"/>
          <w:szCs w:val="18"/>
          <w:lang w:eastAsia="es-CR"/>
        </w:rPr>
      </w:pPr>
    </w:p>
    <w:p w:rsidR="00DA62C0" w:rsidRDefault="00DA62C0" w:rsidP="00672FF2">
      <w:pPr>
        <w:rPr>
          <w:rFonts w:ascii="Arial" w:eastAsia="Times New Roman" w:hAnsi="Arial" w:cs="Arial"/>
          <w:sz w:val="20"/>
          <w:szCs w:val="20"/>
          <w:lang w:val="es-ES" w:eastAsia="es-ES"/>
        </w:rPr>
      </w:pPr>
    </w:p>
    <w:p w:rsidR="002D5BDD" w:rsidRDefault="002D5BDD" w:rsidP="002D5BDD">
      <w:pPr>
        <w:pStyle w:val="Ttulo1"/>
        <w:keepLines w:val="0"/>
        <w:spacing w:after="60" w:line="240" w:lineRule="auto"/>
        <w:ind w:left="928"/>
        <w:jc w:val="both"/>
        <w:rPr>
          <w:rFonts w:ascii="Arial" w:eastAsia="Times New Roman" w:hAnsi="Arial" w:cs="Arial"/>
          <w:b/>
          <w:bCs/>
          <w:color w:val="auto"/>
          <w:kern w:val="32"/>
          <w:sz w:val="20"/>
          <w:szCs w:val="20"/>
          <w:lang w:eastAsia="es-ES"/>
        </w:rPr>
      </w:pPr>
      <w:bookmarkStart w:id="14" w:name="_Toc482965766"/>
    </w:p>
    <w:p w:rsidR="002D5BDD" w:rsidRPr="002D5BDD" w:rsidRDefault="002D5BDD" w:rsidP="002D5BDD">
      <w:pPr>
        <w:pStyle w:val="Ttulo1"/>
        <w:keepLines w:val="0"/>
        <w:numPr>
          <w:ilvl w:val="0"/>
          <w:numId w:val="1"/>
        </w:numPr>
        <w:spacing w:after="60" w:line="240" w:lineRule="auto"/>
        <w:jc w:val="both"/>
        <w:rPr>
          <w:rFonts w:ascii="Arial" w:eastAsia="Times New Roman" w:hAnsi="Arial" w:cs="Arial"/>
          <w:b/>
          <w:bCs/>
          <w:color w:val="auto"/>
          <w:kern w:val="32"/>
          <w:sz w:val="20"/>
          <w:szCs w:val="20"/>
          <w:lang w:eastAsia="es-ES"/>
        </w:rPr>
      </w:pPr>
      <w:r w:rsidRPr="002D5BDD">
        <w:rPr>
          <w:rFonts w:ascii="Arial" w:eastAsia="Times New Roman" w:hAnsi="Arial" w:cs="Arial"/>
          <w:b/>
          <w:bCs/>
          <w:color w:val="auto"/>
          <w:kern w:val="32"/>
          <w:sz w:val="20"/>
          <w:szCs w:val="20"/>
          <w:lang w:eastAsia="es-ES"/>
        </w:rPr>
        <w:t>PROGRAMA PRESUPUESTARIO N°4 GESTIÓN DE PROGRAMAS DE FINANCIAMIENTO</w:t>
      </w:r>
      <w:bookmarkEnd w:id="14"/>
    </w:p>
    <w:p w:rsidR="002D5BDD" w:rsidRPr="002D5BDD" w:rsidRDefault="002D5BDD" w:rsidP="00623888">
      <w:pPr>
        <w:pStyle w:val="Ttulo1"/>
        <w:keepLines w:val="0"/>
        <w:numPr>
          <w:ilvl w:val="0"/>
          <w:numId w:val="9"/>
        </w:numPr>
        <w:spacing w:after="60" w:line="240" w:lineRule="auto"/>
        <w:jc w:val="both"/>
        <w:rPr>
          <w:rFonts w:ascii="Arial" w:eastAsia="Times New Roman" w:hAnsi="Arial" w:cs="Arial"/>
          <w:b/>
          <w:bCs/>
          <w:color w:val="auto"/>
          <w:kern w:val="32"/>
          <w:sz w:val="20"/>
          <w:szCs w:val="20"/>
          <w:lang w:eastAsia="es-ES"/>
        </w:rPr>
      </w:pPr>
      <w:bookmarkStart w:id="15" w:name="_Toc482965767"/>
      <w:r w:rsidRPr="002D5BDD">
        <w:rPr>
          <w:rFonts w:ascii="Arial" w:eastAsia="Times New Roman" w:hAnsi="Arial" w:cs="Arial"/>
          <w:b/>
          <w:bCs/>
          <w:color w:val="auto"/>
          <w:kern w:val="32"/>
          <w:sz w:val="20"/>
          <w:szCs w:val="20"/>
          <w:lang w:eastAsia="es-ES"/>
        </w:rPr>
        <w:t>Breve descripción</w:t>
      </w:r>
      <w:bookmarkEnd w:id="15"/>
    </w:p>
    <w:p w:rsidR="002D5BDD" w:rsidRPr="002A4E2A" w:rsidRDefault="002D5BDD" w:rsidP="002D5BDD">
      <w:pPr>
        <w:pStyle w:val="Textoindependiente"/>
        <w:ind w:left="360"/>
        <w:rPr>
          <w:rFonts w:cs="Arial"/>
          <w:b/>
          <w:sz w:val="20"/>
        </w:rPr>
      </w:pPr>
    </w:p>
    <w:p w:rsidR="002D5BDD" w:rsidRPr="00623888" w:rsidRDefault="002D5BDD" w:rsidP="00623888">
      <w:pPr>
        <w:pStyle w:val="Textoindependiente"/>
        <w:jc w:val="both"/>
        <w:rPr>
          <w:rFonts w:ascii="Arial" w:eastAsia="Arial Unicode MS" w:hAnsi="Arial" w:cs="Arial"/>
          <w:sz w:val="20"/>
        </w:rPr>
      </w:pPr>
      <w:r w:rsidRPr="00623888">
        <w:rPr>
          <w:rFonts w:ascii="Arial" w:eastAsia="Arial Unicode MS" w:hAnsi="Arial" w:cs="Arial"/>
          <w:sz w:val="20"/>
        </w:rPr>
        <w:t xml:space="preserve">Este programa presupuestario está compuesto por dos </w:t>
      </w:r>
      <w:r w:rsidR="00623888" w:rsidRPr="00623888">
        <w:rPr>
          <w:rFonts w:ascii="Arial" w:eastAsia="Arial Unicode MS" w:hAnsi="Arial" w:cs="Arial"/>
          <w:sz w:val="20"/>
        </w:rPr>
        <w:t>subprogramas:</w:t>
      </w:r>
      <w:r w:rsidRPr="00623888">
        <w:rPr>
          <w:rFonts w:ascii="Arial" w:eastAsia="Arial Unicode MS" w:hAnsi="Arial" w:cs="Arial"/>
          <w:sz w:val="20"/>
        </w:rPr>
        <w:t xml:space="preserve"> </w:t>
      </w:r>
    </w:p>
    <w:p w:rsidR="00623888" w:rsidRPr="00623888" w:rsidRDefault="00623888" w:rsidP="00623888">
      <w:pPr>
        <w:pStyle w:val="Textoindependiente"/>
        <w:jc w:val="both"/>
        <w:rPr>
          <w:rFonts w:ascii="Arial" w:eastAsia="Arial Unicode MS" w:hAnsi="Arial" w:cs="Arial"/>
          <w:b/>
          <w:sz w:val="20"/>
        </w:rPr>
      </w:pPr>
    </w:p>
    <w:p w:rsidR="002D5BDD" w:rsidRPr="00623888" w:rsidRDefault="002D5BDD" w:rsidP="00623888">
      <w:pPr>
        <w:pStyle w:val="Textoindependiente"/>
        <w:jc w:val="both"/>
        <w:rPr>
          <w:rFonts w:ascii="Arial" w:eastAsia="Arial Unicode MS" w:hAnsi="Arial" w:cs="Arial"/>
          <w:b/>
          <w:sz w:val="20"/>
        </w:rPr>
      </w:pPr>
      <w:r w:rsidRPr="00623888">
        <w:rPr>
          <w:rFonts w:ascii="Arial" w:eastAsia="Arial Unicode MS" w:hAnsi="Arial" w:cs="Arial"/>
          <w:b/>
          <w:sz w:val="20"/>
        </w:rPr>
        <w:t>No. 1 Gestión de Productos del Sistema de Ahorro y Préstamo:</w:t>
      </w:r>
    </w:p>
    <w:p w:rsidR="002D5BDD" w:rsidRDefault="002D5BDD" w:rsidP="00623888">
      <w:pPr>
        <w:pStyle w:val="Textoindependiente"/>
        <w:jc w:val="both"/>
        <w:rPr>
          <w:rFonts w:cs="Arial"/>
          <w:sz w:val="20"/>
        </w:rPr>
      </w:pPr>
    </w:p>
    <w:p w:rsidR="002D5BDD" w:rsidRPr="00623888" w:rsidRDefault="002D5BDD" w:rsidP="00623888">
      <w:pPr>
        <w:pStyle w:val="Textoindependiente"/>
        <w:spacing w:after="0" w:line="240" w:lineRule="auto"/>
        <w:jc w:val="both"/>
        <w:rPr>
          <w:rFonts w:ascii="Arial" w:eastAsia="Times New Roman" w:hAnsi="Arial" w:cs="Arial"/>
          <w:sz w:val="20"/>
          <w:szCs w:val="20"/>
          <w:lang w:eastAsia="es-ES"/>
        </w:rPr>
      </w:pPr>
      <w:r w:rsidRPr="00623888">
        <w:rPr>
          <w:rFonts w:ascii="Arial" w:eastAsia="Times New Roman" w:hAnsi="Arial" w:cs="Arial"/>
          <w:sz w:val="20"/>
          <w:szCs w:val="20"/>
          <w:lang w:eastAsia="es-ES"/>
        </w:rPr>
        <w:t>El Sistema de Ahorro y Préstamo del INVU, se caracteriza por tener una relación contractual con el cliente, donde las partes (cliente – INVU) adquieren un compromiso de ahorro en la primera etapa por parte del cliente y de financiamiento por parte del INVU en la segunda etapa.</w:t>
      </w:r>
    </w:p>
    <w:p w:rsidR="002D5BDD" w:rsidRPr="00623888" w:rsidRDefault="002D5BDD" w:rsidP="00623888">
      <w:pPr>
        <w:pStyle w:val="Textoindependiente"/>
        <w:spacing w:after="0" w:line="240" w:lineRule="auto"/>
        <w:jc w:val="both"/>
        <w:rPr>
          <w:rFonts w:ascii="Arial" w:eastAsia="Times New Roman" w:hAnsi="Arial" w:cs="Arial"/>
          <w:sz w:val="20"/>
          <w:szCs w:val="20"/>
          <w:lang w:eastAsia="es-ES"/>
        </w:rPr>
      </w:pPr>
    </w:p>
    <w:p w:rsidR="002D5BDD" w:rsidRPr="00623888" w:rsidRDefault="002D5BDD" w:rsidP="00623888">
      <w:pPr>
        <w:pStyle w:val="Textoindependiente"/>
        <w:spacing w:after="0" w:line="240" w:lineRule="auto"/>
        <w:jc w:val="both"/>
        <w:rPr>
          <w:rFonts w:ascii="Arial" w:eastAsia="Times New Roman" w:hAnsi="Arial" w:cs="Arial"/>
          <w:sz w:val="20"/>
          <w:szCs w:val="20"/>
          <w:lang w:eastAsia="es-ES"/>
        </w:rPr>
      </w:pPr>
      <w:r w:rsidRPr="00623888">
        <w:rPr>
          <w:rFonts w:ascii="Arial" w:eastAsia="Times New Roman" w:hAnsi="Arial" w:cs="Arial"/>
          <w:sz w:val="20"/>
          <w:szCs w:val="20"/>
          <w:lang w:eastAsia="es-ES"/>
        </w:rPr>
        <w:t>El producto brindado son los créditos aprobados para vivienda, que se otorgan una vez completada la etapa de maduración del contrato, y cuando el cliente, de acuerdo a su criterio, lo hace efectivo y solicita el crédito correspondiente, que lo aporta la Institución.</w:t>
      </w:r>
    </w:p>
    <w:p w:rsidR="002D5BDD" w:rsidRPr="00623888" w:rsidRDefault="002D5BDD" w:rsidP="00623888">
      <w:pPr>
        <w:pStyle w:val="Textoindependiente"/>
        <w:spacing w:after="0" w:line="240" w:lineRule="auto"/>
        <w:jc w:val="both"/>
        <w:rPr>
          <w:rFonts w:ascii="Arial" w:eastAsia="Times New Roman" w:hAnsi="Arial" w:cs="Arial"/>
          <w:sz w:val="20"/>
          <w:szCs w:val="20"/>
          <w:lang w:eastAsia="es-ES"/>
        </w:rPr>
      </w:pPr>
    </w:p>
    <w:p w:rsidR="002D5BDD" w:rsidRPr="00623888" w:rsidRDefault="002D5BDD" w:rsidP="00623888">
      <w:pPr>
        <w:pStyle w:val="Textoindependiente"/>
        <w:spacing w:after="0" w:line="240" w:lineRule="auto"/>
        <w:jc w:val="both"/>
        <w:rPr>
          <w:rFonts w:ascii="Arial" w:eastAsia="Times New Roman" w:hAnsi="Arial" w:cs="Arial"/>
          <w:sz w:val="20"/>
          <w:szCs w:val="20"/>
          <w:lang w:eastAsia="es-ES"/>
        </w:rPr>
      </w:pPr>
      <w:r w:rsidRPr="00623888">
        <w:rPr>
          <w:rFonts w:ascii="Arial" w:eastAsia="Times New Roman" w:hAnsi="Arial" w:cs="Arial"/>
          <w:sz w:val="20"/>
          <w:szCs w:val="20"/>
          <w:lang w:eastAsia="es-ES"/>
        </w:rPr>
        <w:t>La población beneficiaria, está compuesta por los clientes del Sistema con contratos maduros, o sea que han cumplido con el monto y consecutividad del ahorro exigido, y que deseen hacer efectivo dicho contrato.</w:t>
      </w:r>
    </w:p>
    <w:p w:rsidR="002D5BDD" w:rsidRPr="00623888" w:rsidRDefault="002D5BDD" w:rsidP="00623888">
      <w:pPr>
        <w:pStyle w:val="Textoindependiente"/>
        <w:spacing w:after="0" w:line="240" w:lineRule="auto"/>
        <w:jc w:val="both"/>
        <w:rPr>
          <w:rFonts w:ascii="Arial" w:eastAsia="Times New Roman" w:hAnsi="Arial" w:cs="Arial"/>
          <w:sz w:val="20"/>
          <w:szCs w:val="20"/>
          <w:lang w:eastAsia="es-ES"/>
        </w:rPr>
      </w:pPr>
    </w:p>
    <w:p w:rsidR="002D5BDD" w:rsidRPr="00623888" w:rsidRDefault="002D5BDD" w:rsidP="00623888">
      <w:pPr>
        <w:pStyle w:val="Textoindependiente"/>
        <w:spacing w:after="0" w:line="240" w:lineRule="auto"/>
        <w:jc w:val="both"/>
        <w:rPr>
          <w:rFonts w:ascii="Arial" w:eastAsia="Times New Roman" w:hAnsi="Arial" w:cs="Arial"/>
          <w:sz w:val="20"/>
          <w:szCs w:val="20"/>
          <w:lang w:eastAsia="es-ES"/>
        </w:rPr>
      </w:pPr>
      <w:r w:rsidRPr="00623888">
        <w:rPr>
          <w:rFonts w:ascii="Arial" w:eastAsia="Times New Roman" w:hAnsi="Arial" w:cs="Arial"/>
          <w:sz w:val="20"/>
          <w:szCs w:val="20"/>
          <w:lang w:eastAsia="es-ES"/>
        </w:rPr>
        <w:t>Las metas fijadas y los porcentajes de realización en este subprograma presupuestario, son totalmente compatibles con la misión del Sistema de financiar soluciones de vivienda para familias con capacidad de ahorro, de manera sólida, y garantizando un interés fijo desde el 7% en los créditos, una vez que se cumple con la etapa de ahorro.</w:t>
      </w:r>
    </w:p>
    <w:p w:rsidR="00DA62C0" w:rsidRDefault="00DA62C0" w:rsidP="00623888">
      <w:pPr>
        <w:jc w:val="both"/>
        <w:rPr>
          <w:rFonts w:ascii="Arial" w:eastAsia="Times New Roman" w:hAnsi="Arial" w:cs="Arial"/>
          <w:sz w:val="20"/>
          <w:szCs w:val="20"/>
          <w:lang w:val="es-ES" w:eastAsia="es-ES"/>
        </w:rPr>
      </w:pPr>
    </w:p>
    <w:p w:rsidR="00DA62C0" w:rsidRDefault="00DA62C0">
      <w:pPr>
        <w:rPr>
          <w:rFonts w:ascii="Arial" w:eastAsia="Times New Roman" w:hAnsi="Arial" w:cs="Arial"/>
          <w:sz w:val="20"/>
          <w:szCs w:val="20"/>
          <w:lang w:val="es-ES" w:eastAsia="es-ES"/>
        </w:rPr>
      </w:pPr>
      <w:r>
        <w:rPr>
          <w:rFonts w:ascii="Arial" w:eastAsia="Times New Roman" w:hAnsi="Arial" w:cs="Arial"/>
          <w:sz w:val="20"/>
          <w:szCs w:val="20"/>
          <w:lang w:val="es-ES" w:eastAsia="es-ES"/>
        </w:rPr>
        <w:br w:type="page"/>
      </w:r>
    </w:p>
    <w:p w:rsidR="00623888" w:rsidRPr="00623888" w:rsidRDefault="00623888" w:rsidP="00623888">
      <w:pPr>
        <w:pStyle w:val="Ttulo2"/>
        <w:keepLines w:val="0"/>
        <w:numPr>
          <w:ilvl w:val="0"/>
          <w:numId w:val="8"/>
        </w:numPr>
        <w:spacing w:before="240" w:after="60" w:line="240" w:lineRule="auto"/>
        <w:rPr>
          <w:rFonts w:ascii="Arial" w:eastAsia="Times New Roman" w:hAnsi="Arial" w:cs="Times New Roman"/>
          <w:bCs w:val="0"/>
          <w:color w:val="auto"/>
          <w:sz w:val="22"/>
          <w:szCs w:val="22"/>
          <w:lang w:eastAsia="es-ES"/>
        </w:rPr>
      </w:pPr>
      <w:r w:rsidRPr="00623888">
        <w:rPr>
          <w:rFonts w:ascii="Arial" w:eastAsia="Times New Roman" w:hAnsi="Arial" w:cs="Times New Roman"/>
          <w:bCs w:val="0"/>
          <w:color w:val="auto"/>
          <w:sz w:val="22"/>
          <w:szCs w:val="22"/>
          <w:lang w:eastAsia="es-ES"/>
        </w:rPr>
        <w:lastRenderedPageBreak/>
        <w:t>Análisis del cumplimiento de las metas programadas por indicador</w:t>
      </w:r>
    </w:p>
    <w:p w:rsidR="00623888" w:rsidRPr="002A4E2A" w:rsidRDefault="00623888" w:rsidP="00623888">
      <w:pPr>
        <w:pStyle w:val="Textoindependiente"/>
        <w:spacing w:after="0" w:line="240" w:lineRule="auto"/>
        <w:ind w:left="360"/>
      </w:pPr>
    </w:p>
    <w:p w:rsidR="00623888" w:rsidRPr="00FC7F4D" w:rsidRDefault="00623888" w:rsidP="00FC7F4D">
      <w:pPr>
        <w:pStyle w:val="Textoindependiente"/>
        <w:spacing w:after="0" w:line="240" w:lineRule="auto"/>
        <w:ind w:left="360"/>
        <w:jc w:val="both"/>
        <w:rPr>
          <w:rFonts w:ascii="Arial" w:eastAsia="Times New Roman" w:hAnsi="Arial" w:cs="Arial"/>
          <w:b/>
          <w:sz w:val="20"/>
          <w:szCs w:val="20"/>
          <w:lang w:eastAsia="es-ES"/>
        </w:rPr>
      </w:pPr>
      <w:r w:rsidRPr="00FC7F4D">
        <w:rPr>
          <w:rFonts w:ascii="Arial" w:eastAsia="Times New Roman" w:hAnsi="Arial" w:cs="Arial"/>
          <w:b/>
          <w:sz w:val="20"/>
          <w:szCs w:val="20"/>
          <w:lang w:eastAsia="es-ES"/>
        </w:rPr>
        <w:t>Indicador 44. Monto en millones de colones de los contratos vendidos en el Sistema de Ahorro y Préstamo (SAP)</w:t>
      </w:r>
    </w:p>
    <w:p w:rsidR="00623888" w:rsidRPr="00FC7F4D" w:rsidRDefault="00623888" w:rsidP="00FC7F4D">
      <w:pPr>
        <w:pStyle w:val="Textoindependiente"/>
        <w:spacing w:after="0" w:line="240" w:lineRule="auto"/>
        <w:ind w:left="360"/>
        <w:jc w:val="both"/>
        <w:rPr>
          <w:rFonts w:ascii="Arial" w:eastAsia="Times New Roman" w:hAnsi="Arial" w:cs="Arial"/>
          <w:sz w:val="20"/>
          <w:szCs w:val="20"/>
          <w:lang w:eastAsia="es-ES"/>
        </w:rPr>
      </w:pPr>
    </w:p>
    <w:p w:rsidR="00623888" w:rsidRPr="00FC7F4D" w:rsidRDefault="00623888" w:rsidP="00FC7F4D">
      <w:pPr>
        <w:pStyle w:val="Textoindependiente"/>
        <w:spacing w:after="0" w:line="240" w:lineRule="auto"/>
        <w:ind w:left="360"/>
        <w:jc w:val="both"/>
        <w:rPr>
          <w:rFonts w:ascii="Arial" w:eastAsia="Times New Roman" w:hAnsi="Arial" w:cs="Arial"/>
          <w:sz w:val="20"/>
          <w:szCs w:val="20"/>
          <w:lang w:eastAsia="es-ES"/>
        </w:rPr>
      </w:pPr>
      <w:r w:rsidRPr="00FC7F4D">
        <w:rPr>
          <w:rFonts w:ascii="Arial" w:eastAsia="Times New Roman" w:hAnsi="Arial" w:cs="Arial"/>
          <w:sz w:val="20"/>
          <w:szCs w:val="20"/>
          <w:lang w:eastAsia="es-ES"/>
        </w:rPr>
        <w:t xml:space="preserve">El monto de contratos vendidos a diciembre fue de ¢50.447,5 millones, ejecución que representa el 97% de la meta anual, establecida en ¢51.853,2 millones. </w:t>
      </w:r>
    </w:p>
    <w:p w:rsidR="00623888" w:rsidRPr="00FC7F4D" w:rsidRDefault="00623888" w:rsidP="00FC7F4D">
      <w:pPr>
        <w:pStyle w:val="Textoindependiente"/>
        <w:spacing w:after="0" w:line="240" w:lineRule="auto"/>
        <w:ind w:left="360"/>
        <w:jc w:val="both"/>
        <w:rPr>
          <w:rFonts w:ascii="Arial" w:eastAsia="Times New Roman" w:hAnsi="Arial" w:cs="Arial"/>
          <w:sz w:val="20"/>
          <w:szCs w:val="20"/>
          <w:lang w:eastAsia="es-ES"/>
        </w:rPr>
      </w:pPr>
    </w:p>
    <w:p w:rsidR="00623888" w:rsidRPr="00FC7F4D" w:rsidRDefault="00623888" w:rsidP="00FC7F4D">
      <w:pPr>
        <w:pStyle w:val="Textoindependiente"/>
        <w:spacing w:after="0" w:line="240" w:lineRule="auto"/>
        <w:ind w:left="360"/>
        <w:jc w:val="both"/>
        <w:rPr>
          <w:rFonts w:ascii="Arial" w:eastAsia="Times New Roman" w:hAnsi="Arial" w:cs="Arial"/>
          <w:sz w:val="20"/>
          <w:szCs w:val="20"/>
          <w:lang w:eastAsia="es-ES"/>
        </w:rPr>
      </w:pPr>
      <w:r w:rsidRPr="00FC7F4D">
        <w:rPr>
          <w:rFonts w:ascii="Arial" w:eastAsia="Times New Roman" w:hAnsi="Arial" w:cs="Arial"/>
          <w:sz w:val="20"/>
          <w:szCs w:val="20"/>
          <w:lang w:eastAsia="es-ES"/>
        </w:rPr>
        <w:t xml:space="preserve">Cabe señalar, que la mayor cantidad de ventas por contratos se realizó en los meses de julio, agosto y setiembre (III trimestre), como se puede observar en el cuadro y gráfico siguiente; </w:t>
      </w:r>
    </w:p>
    <w:p w:rsidR="00623888" w:rsidRPr="00FC7F4D" w:rsidRDefault="00623888" w:rsidP="00FC7F4D">
      <w:pPr>
        <w:pStyle w:val="Textoindependiente"/>
        <w:spacing w:after="0" w:line="240" w:lineRule="auto"/>
        <w:ind w:left="360"/>
        <w:jc w:val="both"/>
        <w:rPr>
          <w:rFonts w:ascii="Arial" w:eastAsia="Times New Roman" w:hAnsi="Arial" w:cs="Arial"/>
          <w:sz w:val="20"/>
          <w:szCs w:val="20"/>
          <w:lang w:eastAsia="es-ES"/>
        </w:rPr>
      </w:pPr>
    </w:p>
    <w:p w:rsidR="00623888" w:rsidRPr="00FC7F4D" w:rsidRDefault="00623888" w:rsidP="00FC7F4D">
      <w:pPr>
        <w:pStyle w:val="Textoindependiente"/>
        <w:spacing w:after="0" w:line="240" w:lineRule="auto"/>
        <w:ind w:left="360"/>
        <w:jc w:val="both"/>
        <w:rPr>
          <w:rFonts w:ascii="Arial" w:eastAsia="Times New Roman" w:hAnsi="Arial" w:cs="Arial"/>
          <w:sz w:val="20"/>
          <w:szCs w:val="20"/>
          <w:lang w:eastAsia="es-ES"/>
        </w:rPr>
      </w:pPr>
      <w:r w:rsidRPr="00FC7F4D">
        <w:rPr>
          <w:rFonts w:ascii="Arial" w:eastAsia="Times New Roman" w:hAnsi="Arial" w:cs="Arial"/>
          <w:sz w:val="20"/>
          <w:szCs w:val="20"/>
          <w:lang w:eastAsia="es-ES"/>
        </w:rPr>
        <w:t>En el mes de agosto del 2017, fueron modificadas las condiciones del SAP, en lo correspondiente a créditos y el interés se redujo del 9% al 7%.</w:t>
      </w:r>
    </w:p>
    <w:p w:rsidR="00623888" w:rsidRPr="00FC7F4D" w:rsidRDefault="00623888" w:rsidP="00FC7F4D">
      <w:pPr>
        <w:pStyle w:val="Textoindependiente"/>
        <w:spacing w:after="0" w:line="240" w:lineRule="auto"/>
        <w:ind w:left="360"/>
        <w:jc w:val="both"/>
        <w:rPr>
          <w:rFonts w:ascii="Arial" w:eastAsia="Times New Roman" w:hAnsi="Arial" w:cs="Arial"/>
          <w:sz w:val="20"/>
          <w:szCs w:val="20"/>
          <w:lang w:eastAsia="es-ES"/>
        </w:rPr>
      </w:pPr>
    </w:p>
    <w:p w:rsidR="00623888" w:rsidRPr="00744CE6" w:rsidRDefault="00623888" w:rsidP="00744CE6">
      <w:pPr>
        <w:pStyle w:val="Textoindependiente"/>
        <w:spacing w:after="0" w:line="240" w:lineRule="auto"/>
        <w:ind w:left="360"/>
        <w:jc w:val="center"/>
        <w:rPr>
          <w:rFonts w:ascii="Arial" w:eastAsia="Times New Roman" w:hAnsi="Arial" w:cs="Arial"/>
          <w:b/>
          <w:sz w:val="20"/>
          <w:szCs w:val="20"/>
          <w:lang w:eastAsia="es-ES"/>
        </w:rPr>
      </w:pPr>
    </w:p>
    <w:p w:rsidR="00623888" w:rsidRPr="00744CE6" w:rsidRDefault="00623888" w:rsidP="00744CE6">
      <w:pPr>
        <w:pStyle w:val="Textoindependiente"/>
        <w:spacing w:after="0" w:line="240" w:lineRule="auto"/>
        <w:ind w:left="360"/>
        <w:jc w:val="center"/>
        <w:rPr>
          <w:rFonts w:ascii="Arial" w:eastAsia="Times New Roman" w:hAnsi="Arial" w:cs="Arial"/>
          <w:b/>
          <w:sz w:val="20"/>
          <w:szCs w:val="20"/>
          <w:lang w:eastAsia="es-ES"/>
        </w:rPr>
      </w:pPr>
      <w:r w:rsidRPr="00744CE6">
        <w:rPr>
          <w:rFonts w:ascii="Arial" w:eastAsia="Times New Roman" w:hAnsi="Arial" w:cs="Arial"/>
          <w:b/>
          <w:sz w:val="20"/>
          <w:szCs w:val="20"/>
          <w:lang w:eastAsia="es-ES"/>
        </w:rPr>
        <w:t>Tabla 38 Monto de Contratos Vendidos en el SAP</w:t>
      </w:r>
    </w:p>
    <w:p w:rsidR="00623888" w:rsidRPr="00744CE6" w:rsidRDefault="00623888" w:rsidP="00744CE6">
      <w:pPr>
        <w:pStyle w:val="Textoindependiente"/>
        <w:spacing w:after="0" w:line="240" w:lineRule="auto"/>
        <w:ind w:left="360"/>
        <w:jc w:val="center"/>
        <w:rPr>
          <w:rFonts w:ascii="Arial" w:eastAsia="Times New Roman" w:hAnsi="Arial" w:cs="Arial"/>
          <w:b/>
          <w:sz w:val="20"/>
          <w:szCs w:val="20"/>
          <w:lang w:eastAsia="es-ES"/>
        </w:rPr>
      </w:pPr>
      <w:r w:rsidRPr="00744CE6">
        <w:rPr>
          <w:rFonts w:ascii="Arial" w:eastAsia="Times New Roman" w:hAnsi="Arial" w:cs="Arial"/>
          <w:b/>
          <w:sz w:val="20"/>
          <w:szCs w:val="20"/>
          <w:lang w:eastAsia="es-ES"/>
        </w:rPr>
        <w:t>Enero – Diciembre 2017</w:t>
      </w:r>
    </w:p>
    <w:p w:rsidR="00623888" w:rsidRPr="00FC7F4D" w:rsidRDefault="00623888" w:rsidP="00FC7F4D">
      <w:pPr>
        <w:pStyle w:val="Textoindependiente"/>
        <w:spacing w:after="0" w:line="240" w:lineRule="auto"/>
        <w:ind w:left="360"/>
        <w:jc w:val="both"/>
        <w:rPr>
          <w:rFonts w:ascii="Arial" w:eastAsia="Times New Roman" w:hAnsi="Arial" w:cs="Arial"/>
          <w:sz w:val="20"/>
          <w:szCs w:val="20"/>
          <w:lang w:eastAsia="es-ES"/>
        </w:rPr>
      </w:pPr>
    </w:p>
    <w:tbl>
      <w:tblPr>
        <w:tblW w:w="7856" w:type="dxa"/>
        <w:tblBorders>
          <w:insideH w:val="single" w:sz="6" w:space="0" w:color="000000"/>
          <w:insideV w:val="single" w:sz="6" w:space="0" w:color="000000"/>
        </w:tblBorders>
        <w:tblLayout w:type="fixed"/>
        <w:tblLook w:val="04A0" w:firstRow="1" w:lastRow="0" w:firstColumn="1" w:lastColumn="0" w:noHBand="0" w:noVBand="1"/>
      </w:tblPr>
      <w:tblGrid>
        <w:gridCol w:w="1503"/>
        <w:gridCol w:w="1504"/>
        <w:gridCol w:w="1504"/>
        <w:gridCol w:w="1976"/>
        <w:gridCol w:w="1369"/>
      </w:tblGrid>
      <w:tr w:rsidR="00623888" w:rsidRPr="00FC7F4D" w:rsidTr="00BC1A0F">
        <w:trPr>
          <w:trHeight w:val="474"/>
        </w:trPr>
        <w:tc>
          <w:tcPr>
            <w:tcW w:w="1503" w:type="dxa"/>
            <w:shd w:val="clear" w:color="auto" w:fill="auto"/>
          </w:tcPr>
          <w:p w:rsidR="00623888" w:rsidRPr="00FC7F4D" w:rsidRDefault="00623888" w:rsidP="00FC7F4D">
            <w:pPr>
              <w:pStyle w:val="Textoindependiente"/>
              <w:spacing w:after="0" w:line="240" w:lineRule="auto"/>
              <w:ind w:left="360"/>
              <w:jc w:val="both"/>
              <w:rPr>
                <w:rFonts w:ascii="Arial" w:eastAsia="Times New Roman" w:hAnsi="Arial" w:cs="Arial"/>
                <w:sz w:val="20"/>
                <w:szCs w:val="20"/>
                <w:lang w:eastAsia="es-ES"/>
              </w:rPr>
            </w:pPr>
            <w:r w:rsidRPr="00FC7F4D">
              <w:rPr>
                <w:rFonts w:ascii="Arial" w:eastAsia="Times New Roman" w:hAnsi="Arial" w:cs="Arial"/>
                <w:sz w:val="20"/>
                <w:szCs w:val="20"/>
                <w:lang w:eastAsia="es-ES"/>
              </w:rPr>
              <w:t>I Trimestre</w:t>
            </w:r>
          </w:p>
        </w:tc>
        <w:tc>
          <w:tcPr>
            <w:tcW w:w="1504" w:type="dxa"/>
            <w:shd w:val="clear" w:color="auto" w:fill="auto"/>
          </w:tcPr>
          <w:p w:rsidR="00623888" w:rsidRPr="00FC7F4D" w:rsidRDefault="00623888" w:rsidP="00FC7F4D">
            <w:pPr>
              <w:pStyle w:val="Textoindependiente"/>
              <w:spacing w:after="0" w:line="240" w:lineRule="auto"/>
              <w:ind w:left="360"/>
              <w:jc w:val="both"/>
              <w:rPr>
                <w:rFonts w:ascii="Arial" w:eastAsia="Times New Roman" w:hAnsi="Arial" w:cs="Arial"/>
                <w:sz w:val="20"/>
                <w:szCs w:val="20"/>
                <w:lang w:eastAsia="es-ES"/>
              </w:rPr>
            </w:pPr>
            <w:r w:rsidRPr="00FC7F4D">
              <w:rPr>
                <w:rFonts w:ascii="Arial" w:eastAsia="Times New Roman" w:hAnsi="Arial" w:cs="Arial"/>
                <w:sz w:val="20"/>
                <w:szCs w:val="20"/>
                <w:lang w:eastAsia="es-ES"/>
              </w:rPr>
              <w:t>II Trimestre</w:t>
            </w:r>
          </w:p>
        </w:tc>
        <w:tc>
          <w:tcPr>
            <w:tcW w:w="1504" w:type="dxa"/>
            <w:shd w:val="clear" w:color="auto" w:fill="auto"/>
          </w:tcPr>
          <w:p w:rsidR="00623888" w:rsidRPr="00FC7F4D" w:rsidRDefault="00623888" w:rsidP="00FC7F4D">
            <w:pPr>
              <w:pStyle w:val="Textoindependiente"/>
              <w:spacing w:after="0" w:line="240" w:lineRule="auto"/>
              <w:ind w:left="360"/>
              <w:jc w:val="both"/>
              <w:rPr>
                <w:rFonts w:ascii="Arial" w:eastAsia="Times New Roman" w:hAnsi="Arial" w:cs="Arial"/>
                <w:sz w:val="20"/>
                <w:szCs w:val="20"/>
                <w:lang w:eastAsia="es-ES"/>
              </w:rPr>
            </w:pPr>
            <w:r w:rsidRPr="00FC7F4D">
              <w:rPr>
                <w:rFonts w:ascii="Arial" w:eastAsia="Times New Roman" w:hAnsi="Arial" w:cs="Arial"/>
                <w:sz w:val="20"/>
                <w:szCs w:val="20"/>
                <w:lang w:eastAsia="es-ES"/>
              </w:rPr>
              <w:t>III Trimestre</w:t>
            </w:r>
          </w:p>
        </w:tc>
        <w:tc>
          <w:tcPr>
            <w:tcW w:w="1976" w:type="dxa"/>
            <w:shd w:val="clear" w:color="auto" w:fill="auto"/>
          </w:tcPr>
          <w:p w:rsidR="00623888" w:rsidRPr="00FC7F4D" w:rsidRDefault="00623888" w:rsidP="00FC7F4D">
            <w:pPr>
              <w:pStyle w:val="Textoindependiente"/>
              <w:spacing w:after="0" w:line="240" w:lineRule="auto"/>
              <w:ind w:left="360"/>
              <w:jc w:val="both"/>
              <w:rPr>
                <w:rFonts w:ascii="Arial" w:eastAsia="Times New Roman" w:hAnsi="Arial" w:cs="Arial"/>
                <w:sz w:val="20"/>
                <w:szCs w:val="20"/>
                <w:lang w:eastAsia="es-ES"/>
              </w:rPr>
            </w:pPr>
            <w:r w:rsidRPr="00FC7F4D">
              <w:rPr>
                <w:rFonts w:ascii="Arial" w:eastAsia="Times New Roman" w:hAnsi="Arial" w:cs="Arial"/>
                <w:sz w:val="20"/>
                <w:szCs w:val="20"/>
                <w:lang w:eastAsia="es-ES"/>
              </w:rPr>
              <w:t>IV Trimestre</w:t>
            </w:r>
          </w:p>
        </w:tc>
        <w:tc>
          <w:tcPr>
            <w:tcW w:w="1369" w:type="dxa"/>
            <w:shd w:val="clear" w:color="auto" w:fill="auto"/>
          </w:tcPr>
          <w:p w:rsidR="00623888" w:rsidRPr="00FC7F4D" w:rsidRDefault="00623888" w:rsidP="00FC7F4D">
            <w:pPr>
              <w:pStyle w:val="Textoindependiente"/>
              <w:spacing w:after="0" w:line="240" w:lineRule="auto"/>
              <w:ind w:left="360"/>
              <w:jc w:val="both"/>
              <w:rPr>
                <w:rFonts w:ascii="Arial" w:eastAsia="Times New Roman" w:hAnsi="Arial" w:cs="Arial"/>
                <w:sz w:val="20"/>
                <w:szCs w:val="20"/>
                <w:lang w:eastAsia="es-ES"/>
              </w:rPr>
            </w:pPr>
            <w:r w:rsidRPr="00FC7F4D">
              <w:rPr>
                <w:rFonts w:ascii="Arial" w:eastAsia="Times New Roman" w:hAnsi="Arial" w:cs="Arial"/>
                <w:sz w:val="20"/>
                <w:szCs w:val="20"/>
                <w:lang w:eastAsia="es-ES"/>
              </w:rPr>
              <w:t>Acumulado</w:t>
            </w:r>
          </w:p>
        </w:tc>
      </w:tr>
      <w:tr w:rsidR="00623888" w:rsidRPr="00FC7F4D" w:rsidTr="00BC1A0F">
        <w:trPr>
          <w:trHeight w:val="237"/>
        </w:trPr>
        <w:tc>
          <w:tcPr>
            <w:tcW w:w="1503" w:type="dxa"/>
            <w:shd w:val="clear" w:color="auto" w:fill="auto"/>
            <w:vAlign w:val="center"/>
          </w:tcPr>
          <w:p w:rsidR="00623888" w:rsidRPr="00FC7F4D" w:rsidRDefault="00623888" w:rsidP="00FC7F4D">
            <w:pPr>
              <w:pStyle w:val="Textoindependiente"/>
              <w:spacing w:after="0" w:line="240" w:lineRule="auto"/>
              <w:ind w:left="360"/>
              <w:jc w:val="both"/>
              <w:rPr>
                <w:rFonts w:ascii="Arial" w:eastAsia="Times New Roman" w:hAnsi="Arial" w:cs="Arial"/>
                <w:sz w:val="20"/>
                <w:szCs w:val="20"/>
                <w:lang w:eastAsia="es-ES"/>
              </w:rPr>
            </w:pPr>
          </w:p>
          <w:p w:rsidR="00623888" w:rsidRPr="00FC7F4D" w:rsidRDefault="00623888" w:rsidP="00FC7F4D">
            <w:pPr>
              <w:pStyle w:val="Textoindependiente"/>
              <w:spacing w:after="0" w:line="240" w:lineRule="auto"/>
              <w:ind w:left="360"/>
              <w:jc w:val="both"/>
              <w:rPr>
                <w:rFonts w:ascii="Arial" w:eastAsia="Times New Roman" w:hAnsi="Arial" w:cs="Arial"/>
                <w:sz w:val="20"/>
                <w:szCs w:val="20"/>
                <w:lang w:eastAsia="es-ES"/>
              </w:rPr>
            </w:pPr>
            <w:r w:rsidRPr="00FC7F4D">
              <w:rPr>
                <w:rFonts w:ascii="Arial" w:eastAsia="Times New Roman" w:hAnsi="Arial" w:cs="Arial"/>
                <w:sz w:val="20"/>
                <w:szCs w:val="20"/>
                <w:lang w:eastAsia="es-ES"/>
              </w:rPr>
              <w:t>13.769,5</w:t>
            </w:r>
          </w:p>
          <w:p w:rsidR="00623888" w:rsidRPr="00FC7F4D" w:rsidRDefault="00623888" w:rsidP="00FC7F4D">
            <w:pPr>
              <w:pStyle w:val="Textoindependiente"/>
              <w:spacing w:after="0" w:line="240" w:lineRule="auto"/>
              <w:ind w:left="360"/>
              <w:jc w:val="both"/>
              <w:rPr>
                <w:rFonts w:ascii="Arial" w:eastAsia="Times New Roman" w:hAnsi="Arial" w:cs="Arial"/>
                <w:sz w:val="20"/>
                <w:szCs w:val="20"/>
                <w:lang w:eastAsia="es-ES"/>
              </w:rPr>
            </w:pPr>
          </w:p>
        </w:tc>
        <w:tc>
          <w:tcPr>
            <w:tcW w:w="1504" w:type="dxa"/>
            <w:shd w:val="clear" w:color="auto" w:fill="auto"/>
            <w:vAlign w:val="center"/>
          </w:tcPr>
          <w:p w:rsidR="00623888" w:rsidRPr="00FC7F4D" w:rsidRDefault="00623888" w:rsidP="00FC7F4D">
            <w:pPr>
              <w:pStyle w:val="Textoindependiente"/>
              <w:spacing w:after="0" w:line="240" w:lineRule="auto"/>
              <w:ind w:left="360"/>
              <w:jc w:val="both"/>
              <w:rPr>
                <w:rFonts w:ascii="Arial" w:eastAsia="Times New Roman" w:hAnsi="Arial" w:cs="Arial"/>
                <w:sz w:val="20"/>
                <w:szCs w:val="20"/>
                <w:lang w:eastAsia="es-ES"/>
              </w:rPr>
            </w:pPr>
            <w:r w:rsidRPr="00FC7F4D">
              <w:rPr>
                <w:rFonts w:ascii="Arial" w:eastAsia="Times New Roman" w:hAnsi="Arial" w:cs="Arial"/>
                <w:sz w:val="20"/>
                <w:szCs w:val="20"/>
                <w:lang w:eastAsia="es-ES"/>
              </w:rPr>
              <w:t>9.098,5</w:t>
            </w:r>
          </w:p>
        </w:tc>
        <w:tc>
          <w:tcPr>
            <w:tcW w:w="1504" w:type="dxa"/>
            <w:shd w:val="clear" w:color="auto" w:fill="auto"/>
            <w:vAlign w:val="center"/>
          </w:tcPr>
          <w:p w:rsidR="00623888" w:rsidRPr="00FC7F4D" w:rsidRDefault="00623888" w:rsidP="00FC7F4D">
            <w:pPr>
              <w:pStyle w:val="Textoindependiente"/>
              <w:spacing w:after="0" w:line="240" w:lineRule="auto"/>
              <w:ind w:left="360"/>
              <w:jc w:val="both"/>
              <w:rPr>
                <w:rFonts w:ascii="Arial" w:eastAsia="Times New Roman" w:hAnsi="Arial" w:cs="Arial"/>
                <w:sz w:val="20"/>
                <w:szCs w:val="20"/>
                <w:lang w:eastAsia="es-ES"/>
              </w:rPr>
            </w:pPr>
            <w:r w:rsidRPr="00FC7F4D">
              <w:rPr>
                <w:rFonts w:ascii="Arial" w:eastAsia="Times New Roman" w:hAnsi="Arial" w:cs="Arial"/>
                <w:sz w:val="20"/>
                <w:szCs w:val="20"/>
                <w:lang w:eastAsia="es-ES"/>
              </w:rPr>
              <w:t>14.483,5</w:t>
            </w:r>
          </w:p>
        </w:tc>
        <w:tc>
          <w:tcPr>
            <w:tcW w:w="1976" w:type="dxa"/>
            <w:shd w:val="clear" w:color="auto" w:fill="auto"/>
            <w:vAlign w:val="center"/>
          </w:tcPr>
          <w:p w:rsidR="00623888" w:rsidRPr="00FC7F4D" w:rsidRDefault="00623888" w:rsidP="00FC7F4D">
            <w:pPr>
              <w:pStyle w:val="Textoindependiente"/>
              <w:spacing w:after="0" w:line="240" w:lineRule="auto"/>
              <w:ind w:left="360"/>
              <w:jc w:val="both"/>
              <w:rPr>
                <w:rFonts w:ascii="Arial" w:eastAsia="Times New Roman" w:hAnsi="Arial" w:cs="Arial"/>
                <w:sz w:val="20"/>
                <w:szCs w:val="20"/>
                <w:lang w:eastAsia="es-ES"/>
              </w:rPr>
            </w:pPr>
            <w:r w:rsidRPr="00FC7F4D">
              <w:rPr>
                <w:rFonts w:ascii="Arial" w:eastAsia="Times New Roman" w:hAnsi="Arial" w:cs="Arial"/>
                <w:sz w:val="20"/>
                <w:szCs w:val="20"/>
                <w:lang w:eastAsia="es-ES"/>
              </w:rPr>
              <w:t>13.096,0</w:t>
            </w:r>
          </w:p>
        </w:tc>
        <w:tc>
          <w:tcPr>
            <w:tcW w:w="1369" w:type="dxa"/>
            <w:shd w:val="clear" w:color="auto" w:fill="auto"/>
            <w:vAlign w:val="center"/>
          </w:tcPr>
          <w:p w:rsidR="00623888" w:rsidRPr="00FC7F4D" w:rsidRDefault="00623888" w:rsidP="00FC7F4D">
            <w:pPr>
              <w:pStyle w:val="Textoindependiente"/>
              <w:spacing w:after="0" w:line="240" w:lineRule="auto"/>
              <w:ind w:left="360"/>
              <w:jc w:val="both"/>
              <w:rPr>
                <w:rFonts w:ascii="Arial" w:eastAsia="Times New Roman" w:hAnsi="Arial" w:cs="Arial"/>
                <w:sz w:val="20"/>
                <w:szCs w:val="20"/>
                <w:lang w:eastAsia="es-ES"/>
              </w:rPr>
            </w:pPr>
            <w:r w:rsidRPr="00FC7F4D">
              <w:rPr>
                <w:rFonts w:ascii="Arial" w:eastAsia="Times New Roman" w:hAnsi="Arial" w:cs="Arial"/>
                <w:sz w:val="20"/>
                <w:szCs w:val="20"/>
                <w:lang w:eastAsia="es-ES"/>
              </w:rPr>
              <w:t>50.447,5</w:t>
            </w:r>
          </w:p>
        </w:tc>
      </w:tr>
    </w:tbl>
    <w:p w:rsidR="00623888" w:rsidRPr="00FC7F4D" w:rsidRDefault="00623888" w:rsidP="00FC7F4D">
      <w:pPr>
        <w:pStyle w:val="Textoindependiente"/>
        <w:spacing w:after="0" w:line="240" w:lineRule="auto"/>
        <w:ind w:left="360"/>
        <w:jc w:val="both"/>
        <w:rPr>
          <w:rFonts w:ascii="Arial" w:eastAsia="Times New Roman" w:hAnsi="Arial" w:cs="Arial"/>
          <w:sz w:val="20"/>
          <w:szCs w:val="20"/>
          <w:lang w:eastAsia="es-ES"/>
        </w:rPr>
      </w:pPr>
      <w:r w:rsidRPr="00FC7F4D">
        <w:rPr>
          <w:rFonts w:ascii="Arial" w:eastAsia="Times New Roman" w:hAnsi="Arial" w:cs="Arial"/>
          <w:sz w:val="20"/>
          <w:szCs w:val="20"/>
          <w:lang w:eastAsia="es-ES"/>
        </w:rPr>
        <w:t xml:space="preserve">              </w:t>
      </w:r>
    </w:p>
    <w:p w:rsidR="00623888" w:rsidRPr="00FC7F4D" w:rsidRDefault="00623888" w:rsidP="00FC7F4D">
      <w:pPr>
        <w:pStyle w:val="Textoindependiente"/>
        <w:spacing w:after="0" w:line="240" w:lineRule="auto"/>
        <w:ind w:left="360"/>
        <w:jc w:val="both"/>
        <w:rPr>
          <w:rFonts w:ascii="Arial" w:eastAsia="Times New Roman" w:hAnsi="Arial" w:cs="Arial"/>
          <w:sz w:val="20"/>
          <w:szCs w:val="20"/>
          <w:lang w:eastAsia="es-ES"/>
        </w:rPr>
      </w:pPr>
      <w:r w:rsidRPr="00FC7F4D">
        <w:rPr>
          <w:rFonts w:ascii="Arial" w:eastAsia="Times New Roman" w:hAnsi="Arial" w:cs="Arial"/>
          <w:sz w:val="20"/>
          <w:szCs w:val="20"/>
          <w:lang w:eastAsia="es-ES"/>
        </w:rPr>
        <w:t xml:space="preserve">    </w:t>
      </w:r>
    </w:p>
    <w:p w:rsidR="00623888" w:rsidRPr="001E2626" w:rsidRDefault="00623888" w:rsidP="00FC7F4D">
      <w:pPr>
        <w:pStyle w:val="Textoindependiente"/>
        <w:spacing w:after="0" w:line="240" w:lineRule="auto"/>
        <w:ind w:left="360"/>
        <w:jc w:val="both"/>
        <w:rPr>
          <w:rFonts w:ascii="Arial" w:eastAsia="Times New Roman" w:hAnsi="Arial" w:cs="Arial"/>
          <w:sz w:val="18"/>
          <w:szCs w:val="18"/>
          <w:lang w:eastAsia="es-ES"/>
        </w:rPr>
      </w:pPr>
      <w:r w:rsidRPr="001E2626">
        <w:rPr>
          <w:rFonts w:ascii="Arial" w:eastAsia="Times New Roman" w:hAnsi="Arial" w:cs="Arial"/>
          <w:sz w:val="18"/>
          <w:szCs w:val="18"/>
          <w:lang w:eastAsia="es-ES"/>
        </w:rPr>
        <w:t>Nota Fuente: Informe de rendimiento de cuentas del área. (2017)</w:t>
      </w:r>
    </w:p>
    <w:p w:rsidR="00623888" w:rsidRPr="00FC7F4D" w:rsidRDefault="00623888" w:rsidP="00FC7F4D">
      <w:pPr>
        <w:pStyle w:val="Textoindependiente"/>
        <w:spacing w:after="0" w:line="240" w:lineRule="auto"/>
        <w:ind w:left="360"/>
        <w:jc w:val="both"/>
        <w:rPr>
          <w:rFonts w:ascii="Arial" w:eastAsia="Times New Roman" w:hAnsi="Arial" w:cs="Arial"/>
          <w:sz w:val="20"/>
          <w:szCs w:val="20"/>
          <w:lang w:eastAsia="es-ES"/>
        </w:rPr>
      </w:pPr>
    </w:p>
    <w:p w:rsidR="00623888" w:rsidRPr="00FC7F4D" w:rsidRDefault="00623888" w:rsidP="00FC7F4D">
      <w:pPr>
        <w:pStyle w:val="Textoindependiente"/>
        <w:spacing w:after="0" w:line="240" w:lineRule="auto"/>
        <w:ind w:left="360"/>
        <w:jc w:val="both"/>
        <w:rPr>
          <w:rFonts w:ascii="Arial" w:eastAsia="Times New Roman" w:hAnsi="Arial" w:cs="Arial"/>
          <w:sz w:val="20"/>
          <w:szCs w:val="20"/>
          <w:lang w:eastAsia="es-ES"/>
        </w:rPr>
      </w:pPr>
      <w:r w:rsidRPr="00FC7F4D">
        <w:rPr>
          <w:rFonts w:ascii="Arial" w:eastAsia="Times New Roman" w:hAnsi="Arial" w:cs="Arial"/>
          <w:sz w:val="20"/>
          <w:szCs w:val="20"/>
          <w:lang w:eastAsia="es-ES"/>
        </w:rPr>
        <w:fldChar w:fldCharType="begin"/>
      </w:r>
      <w:r w:rsidRPr="00FC7F4D">
        <w:rPr>
          <w:rFonts w:ascii="Arial" w:eastAsia="Times New Roman" w:hAnsi="Arial" w:cs="Arial"/>
          <w:sz w:val="20"/>
          <w:szCs w:val="20"/>
          <w:lang w:eastAsia="es-ES"/>
        </w:rPr>
        <w:instrText xml:space="preserve"> LINK Excel.Sheet.12 "C:\\Users\\Mmartinez\\Documents\\Marta Martínez C\\Rendimiento de cuentas (año 2017)\\Rendimiento de Cuentas (Diciembre 2017)\\Gráficos\\Programa IV (M11oct2017).xlsx!I44![Programa IV (M11oct2017).xlsx]I44 2 Gráfico" "" \a \p \* MERGEFORMAT </w:instrText>
      </w:r>
      <w:r w:rsidRPr="00FC7F4D">
        <w:rPr>
          <w:rFonts w:ascii="Arial" w:eastAsia="Times New Roman" w:hAnsi="Arial" w:cs="Arial"/>
          <w:sz w:val="20"/>
          <w:szCs w:val="20"/>
          <w:lang w:eastAsia="es-ES"/>
        </w:rPr>
        <w:fldChar w:fldCharType="separate"/>
      </w:r>
      <w:r w:rsidRPr="00FC7F4D">
        <w:rPr>
          <w:rFonts w:ascii="Arial" w:eastAsia="Times New Roman" w:hAnsi="Arial" w:cs="Arial"/>
          <w:sz w:val="20"/>
          <w:szCs w:val="20"/>
          <w:lang w:eastAsia="es-ES"/>
        </w:rPr>
        <w:object w:dxaOrig="6720" w:dyaOrig="3406">
          <v:shape id="_x0000_i1070" type="#_x0000_t75" style="width:362.7pt;height:202.55pt" o:ole="">
            <v:imagedata r:id="rId23" o:title=""/>
          </v:shape>
        </w:object>
      </w:r>
      <w:r w:rsidRPr="00FC7F4D">
        <w:rPr>
          <w:rFonts w:ascii="Arial" w:eastAsia="Times New Roman" w:hAnsi="Arial" w:cs="Arial"/>
          <w:sz w:val="20"/>
          <w:szCs w:val="20"/>
          <w:lang w:eastAsia="es-ES"/>
        </w:rPr>
        <w:fldChar w:fldCharType="end"/>
      </w:r>
    </w:p>
    <w:p w:rsidR="00623888" w:rsidRPr="00FC7F4D" w:rsidRDefault="00623888" w:rsidP="00FC7F4D">
      <w:pPr>
        <w:pStyle w:val="Textoindependiente"/>
        <w:spacing w:after="0" w:line="240" w:lineRule="auto"/>
        <w:ind w:left="360"/>
        <w:jc w:val="both"/>
        <w:rPr>
          <w:rFonts w:ascii="Arial" w:eastAsia="Times New Roman" w:hAnsi="Arial" w:cs="Arial"/>
          <w:sz w:val="18"/>
          <w:szCs w:val="18"/>
          <w:lang w:eastAsia="es-ES"/>
        </w:rPr>
      </w:pPr>
      <w:r w:rsidRPr="00FC7F4D">
        <w:rPr>
          <w:rFonts w:ascii="Arial" w:eastAsia="Times New Roman" w:hAnsi="Arial" w:cs="Arial"/>
          <w:sz w:val="18"/>
          <w:szCs w:val="18"/>
          <w:lang w:eastAsia="es-ES"/>
        </w:rPr>
        <w:t xml:space="preserve">      Fuente: Informe de rendimiento de cuentas del área. (2017)</w:t>
      </w:r>
    </w:p>
    <w:p w:rsidR="0035377E" w:rsidRPr="00FC7F4D" w:rsidRDefault="0035377E" w:rsidP="00FC7F4D">
      <w:pPr>
        <w:spacing w:after="0" w:line="240" w:lineRule="auto"/>
        <w:jc w:val="both"/>
        <w:rPr>
          <w:rFonts w:ascii="Arial" w:eastAsia="Times New Roman" w:hAnsi="Arial" w:cs="Arial"/>
          <w:bCs/>
          <w:sz w:val="18"/>
          <w:szCs w:val="18"/>
          <w:lang w:eastAsia="es-CR"/>
        </w:rPr>
      </w:pPr>
    </w:p>
    <w:p w:rsidR="0035377E" w:rsidRPr="00FC7F4D" w:rsidRDefault="0035377E" w:rsidP="00623888">
      <w:pPr>
        <w:spacing w:after="0" w:line="240" w:lineRule="auto"/>
        <w:jc w:val="both"/>
        <w:rPr>
          <w:rFonts w:ascii="Arial" w:eastAsia="Times New Roman" w:hAnsi="Arial" w:cs="Arial"/>
          <w:bCs/>
          <w:sz w:val="18"/>
          <w:szCs w:val="18"/>
          <w:lang w:eastAsia="es-CR"/>
        </w:rPr>
      </w:pPr>
    </w:p>
    <w:p w:rsidR="0035377E" w:rsidRPr="00FC7F4D" w:rsidRDefault="0035377E" w:rsidP="00623888">
      <w:pPr>
        <w:spacing w:after="0" w:line="240" w:lineRule="auto"/>
        <w:jc w:val="both"/>
        <w:rPr>
          <w:rFonts w:ascii="Arial" w:eastAsia="Times New Roman" w:hAnsi="Arial" w:cs="Arial"/>
          <w:bCs/>
          <w:sz w:val="20"/>
          <w:szCs w:val="20"/>
          <w:lang w:eastAsia="es-CR"/>
        </w:rPr>
      </w:pPr>
    </w:p>
    <w:p w:rsidR="0035377E" w:rsidRDefault="0035377E" w:rsidP="00623888">
      <w:pPr>
        <w:spacing w:after="0" w:line="240" w:lineRule="auto"/>
        <w:jc w:val="both"/>
        <w:rPr>
          <w:rFonts w:ascii="Arial" w:eastAsia="Times New Roman" w:hAnsi="Arial" w:cs="Arial"/>
          <w:bCs/>
          <w:sz w:val="20"/>
          <w:szCs w:val="20"/>
          <w:lang w:eastAsia="es-CR"/>
        </w:rPr>
      </w:pPr>
    </w:p>
    <w:p w:rsidR="0035377E" w:rsidRDefault="0035377E" w:rsidP="00623888">
      <w:pPr>
        <w:spacing w:after="0" w:line="240" w:lineRule="auto"/>
        <w:jc w:val="both"/>
        <w:rPr>
          <w:rFonts w:ascii="Arial" w:eastAsia="Times New Roman" w:hAnsi="Arial" w:cs="Arial"/>
          <w:bCs/>
          <w:sz w:val="20"/>
          <w:szCs w:val="20"/>
          <w:lang w:eastAsia="es-CR"/>
        </w:rPr>
      </w:pPr>
    </w:p>
    <w:p w:rsidR="00623888" w:rsidRPr="00623888" w:rsidRDefault="00623888" w:rsidP="00623888">
      <w:pPr>
        <w:spacing w:after="0" w:line="240" w:lineRule="auto"/>
        <w:jc w:val="both"/>
        <w:rPr>
          <w:rFonts w:ascii="Arial" w:eastAsia="Times New Roman" w:hAnsi="Arial" w:cs="Arial"/>
          <w:bCs/>
          <w:sz w:val="20"/>
          <w:szCs w:val="20"/>
          <w:lang w:eastAsia="es-CR"/>
        </w:rPr>
      </w:pPr>
      <w:r w:rsidRPr="00623888">
        <w:rPr>
          <w:rFonts w:ascii="Arial" w:eastAsia="Times New Roman" w:hAnsi="Arial" w:cs="Arial"/>
          <w:bCs/>
          <w:sz w:val="20"/>
          <w:szCs w:val="20"/>
          <w:lang w:eastAsia="es-CR"/>
        </w:rPr>
        <w:lastRenderedPageBreak/>
        <w:t>La cantidad de contratos vendidos fue de 4.208, distribuidos en los diferentes planes, como se puede observar en el siguiente cuadro.</w:t>
      </w:r>
    </w:p>
    <w:p w:rsidR="00623888" w:rsidRPr="00623888" w:rsidRDefault="00623888" w:rsidP="00623888">
      <w:pPr>
        <w:spacing w:after="0" w:line="240" w:lineRule="auto"/>
        <w:jc w:val="both"/>
        <w:rPr>
          <w:rFonts w:ascii="Arial" w:eastAsia="Times New Roman" w:hAnsi="Arial" w:cs="Arial"/>
          <w:bCs/>
          <w:sz w:val="20"/>
          <w:szCs w:val="20"/>
          <w:lang w:eastAsia="es-CR"/>
        </w:rPr>
      </w:pPr>
    </w:p>
    <w:p w:rsidR="00623888" w:rsidRPr="0035377E" w:rsidRDefault="00623888" w:rsidP="0035377E">
      <w:pPr>
        <w:spacing w:after="0" w:line="240" w:lineRule="auto"/>
        <w:jc w:val="center"/>
        <w:rPr>
          <w:rFonts w:ascii="Arial" w:eastAsia="Times New Roman" w:hAnsi="Arial" w:cs="Arial"/>
          <w:b/>
          <w:bCs/>
          <w:sz w:val="20"/>
          <w:szCs w:val="20"/>
          <w:lang w:eastAsia="es-CR"/>
        </w:rPr>
      </w:pPr>
      <w:r w:rsidRPr="0035377E">
        <w:rPr>
          <w:rFonts w:ascii="Arial" w:eastAsia="Times New Roman" w:hAnsi="Arial" w:cs="Arial"/>
          <w:b/>
          <w:bCs/>
          <w:sz w:val="20"/>
          <w:szCs w:val="20"/>
          <w:lang w:eastAsia="es-CR"/>
        </w:rPr>
        <w:t>Cuadro 1</w:t>
      </w:r>
      <w:r w:rsidR="00BC1DD5">
        <w:rPr>
          <w:rFonts w:ascii="Arial" w:eastAsia="Times New Roman" w:hAnsi="Arial" w:cs="Arial"/>
          <w:b/>
          <w:bCs/>
          <w:sz w:val="20"/>
          <w:szCs w:val="20"/>
          <w:lang w:eastAsia="es-CR"/>
        </w:rPr>
        <w:t>1</w:t>
      </w:r>
      <w:r w:rsidRPr="0035377E">
        <w:rPr>
          <w:rFonts w:ascii="Arial" w:eastAsia="Times New Roman" w:hAnsi="Arial" w:cs="Arial"/>
          <w:b/>
          <w:bCs/>
          <w:sz w:val="20"/>
          <w:szCs w:val="20"/>
          <w:lang w:eastAsia="es-CR"/>
        </w:rPr>
        <w:t xml:space="preserve"> Ventas de Contratos por Tipo de Plan (millones)</w:t>
      </w:r>
    </w:p>
    <w:p w:rsidR="00623888" w:rsidRPr="0035377E" w:rsidRDefault="00623888" w:rsidP="0035377E">
      <w:pPr>
        <w:spacing w:after="0" w:line="240" w:lineRule="auto"/>
        <w:jc w:val="center"/>
        <w:rPr>
          <w:rFonts w:ascii="Arial" w:eastAsia="Times New Roman" w:hAnsi="Arial" w:cs="Arial"/>
          <w:b/>
          <w:bCs/>
          <w:sz w:val="20"/>
          <w:szCs w:val="20"/>
          <w:lang w:eastAsia="es-CR"/>
        </w:rPr>
      </w:pPr>
      <w:r w:rsidRPr="0035377E">
        <w:rPr>
          <w:rFonts w:ascii="Arial" w:eastAsia="Times New Roman" w:hAnsi="Arial" w:cs="Arial"/>
          <w:b/>
          <w:bCs/>
          <w:sz w:val="20"/>
          <w:szCs w:val="20"/>
          <w:lang w:eastAsia="es-CR"/>
        </w:rPr>
        <w:t>Enero – diciembre 2017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1773"/>
        <w:gridCol w:w="1773"/>
        <w:gridCol w:w="1773"/>
      </w:tblGrid>
      <w:tr w:rsidR="00623888" w:rsidRPr="0035377E" w:rsidTr="00BC1A0F">
        <w:trPr>
          <w:trHeight w:val="265"/>
          <w:jc w:val="center"/>
        </w:trPr>
        <w:tc>
          <w:tcPr>
            <w:tcW w:w="1773" w:type="dxa"/>
            <w:shd w:val="clear" w:color="auto" w:fill="auto"/>
          </w:tcPr>
          <w:p w:rsidR="00623888" w:rsidRPr="0035377E" w:rsidRDefault="00623888" w:rsidP="00623888">
            <w:pPr>
              <w:spacing w:after="0" w:line="240" w:lineRule="auto"/>
              <w:jc w:val="both"/>
              <w:rPr>
                <w:rFonts w:ascii="Arial" w:eastAsia="Times New Roman" w:hAnsi="Arial" w:cs="Arial"/>
                <w:bCs/>
                <w:sz w:val="18"/>
                <w:szCs w:val="18"/>
                <w:lang w:eastAsia="es-CR"/>
              </w:rPr>
            </w:pPr>
            <w:r w:rsidRPr="0035377E">
              <w:rPr>
                <w:rFonts w:ascii="Arial" w:eastAsia="Times New Roman" w:hAnsi="Arial" w:cs="Arial"/>
                <w:bCs/>
                <w:sz w:val="18"/>
                <w:szCs w:val="18"/>
                <w:lang w:eastAsia="es-CR"/>
              </w:rPr>
              <w:t>Planes</w:t>
            </w:r>
          </w:p>
        </w:tc>
        <w:tc>
          <w:tcPr>
            <w:tcW w:w="1773" w:type="dxa"/>
            <w:shd w:val="clear" w:color="auto" w:fill="auto"/>
          </w:tcPr>
          <w:p w:rsidR="00623888" w:rsidRPr="0035377E" w:rsidRDefault="00623888" w:rsidP="00623888">
            <w:pPr>
              <w:spacing w:after="0" w:line="240" w:lineRule="auto"/>
              <w:jc w:val="both"/>
              <w:rPr>
                <w:rFonts w:ascii="Arial" w:eastAsia="Times New Roman" w:hAnsi="Arial" w:cs="Arial"/>
                <w:bCs/>
                <w:sz w:val="18"/>
                <w:szCs w:val="18"/>
                <w:lang w:eastAsia="es-CR"/>
              </w:rPr>
            </w:pPr>
            <w:r w:rsidRPr="0035377E">
              <w:rPr>
                <w:rFonts w:ascii="Arial" w:eastAsia="Times New Roman" w:hAnsi="Arial" w:cs="Arial"/>
                <w:bCs/>
                <w:sz w:val="18"/>
                <w:szCs w:val="18"/>
                <w:lang w:eastAsia="es-CR"/>
              </w:rPr>
              <w:t>N° Contratos</w:t>
            </w:r>
          </w:p>
        </w:tc>
        <w:tc>
          <w:tcPr>
            <w:tcW w:w="3546" w:type="dxa"/>
            <w:gridSpan w:val="2"/>
            <w:shd w:val="clear" w:color="auto" w:fill="auto"/>
          </w:tcPr>
          <w:p w:rsidR="00623888" w:rsidRPr="0035377E" w:rsidRDefault="00623888" w:rsidP="00623888">
            <w:pPr>
              <w:spacing w:after="0" w:line="240" w:lineRule="auto"/>
              <w:jc w:val="both"/>
              <w:rPr>
                <w:rFonts w:ascii="Arial" w:eastAsia="Times New Roman" w:hAnsi="Arial" w:cs="Arial"/>
                <w:bCs/>
                <w:sz w:val="18"/>
                <w:szCs w:val="18"/>
                <w:lang w:eastAsia="es-CR"/>
              </w:rPr>
            </w:pPr>
            <w:r w:rsidRPr="0035377E">
              <w:rPr>
                <w:rFonts w:ascii="Arial" w:eastAsia="Times New Roman" w:hAnsi="Arial" w:cs="Arial"/>
                <w:bCs/>
                <w:sz w:val="18"/>
                <w:szCs w:val="18"/>
                <w:lang w:eastAsia="es-CR"/>
              </w:rPr>
              <w:t>Ventas</w:t>
            </w:r>
          </w:p>
        </w:tc>
      </w:tr>
      <w:tr w:rsidR="00623888" w:rsidRPr="0035377E" w:rsidTr="00BC1A0F">
        <w:trPr>
          <w:trHeight w:val="265"/>
          <w:jc w:val="center"/>
        </w:trPr>
        <w:tc>
          <w:tcPr>
            <w:tcW w:w="1773" w:type="dxa"/>
            <w:shd w:val="clear" w:color="auto" w:fill="auto"/>
            <w:vAlign w:val="center"/>
          </w:tcPr>
          <w:p w:rsidR="00623888" w:rsidRPr="0035377E" w:rsidRDefault="00623888" w:rsidP="00623888">
            <w:pPr>
              <w:spacing w:after="0" w:line="240" w:lineRule="auto"/>
              <w:jc w:val="both"/>
              <w:rPr>
                <w:rFonts w:ascii="Arial" w:eastAsia="Times New Roman" w:hAnsi="Arial" w:cs="Arial"/>
                <w:bCs/>
                <w:sz w:val="18"/>
                <w:szCs w:val="18"/>
                <w:lang w:eastAsia="es-CR"/>
              </w:rPr>
            </w:pPr>
            <w:r w:rsidRPr="0035377E">
              <w:rPr>
                <w:rFonts w:ascii="Arial" w:eastAsia="Times New Roman" w:hAnsi="Arial" w:cs="Arial"/>
                <w:bCs/>
                <w:sz w:val="18"/>
                <w:szCs w:val="18"/>
                <w:lang w:eastAsia="es-CR"/>
              </w:rPr>
              <w:t>2 - 4</w:t>
            </w:r>
          </w:p>
        </w:tc>
        <w:tc>
          <w:tcPr>
            <w:tcW w:w="1773" w:type="dxa"/>
            <w:shd w:val="clear" w:color="auto" w:fill="auto"/>
            <w:vAlign w:val="center"/>
          </w:tcPr>
          <w:p w:rsidR="00623888" w:rsidRPr="0035377E" w:rsidRDefault="00623888" w:rsidP="00623888">
            <w:pPr>
              <w:spacing w:after="0" w:line="240" w:lineRule="auto"/>
              <w:jc w:val="both"/>
              <w:rPr>
                <w:rFonts w:ascii="Arial" w:eastAsia="Times New Roman" w:hAnsi="Arial" w:cs="Arial"/>
                <w:bCs/>
                <w:sz w:val="18"/>
                <w:szCs w:val="18"/>
                <w:lang w:eastAsia="es-CR"/>
              </w:rPr>
            </w:pPr>
            <w:r w:rsidRPr="0035377E">
              <w:rPr>
                <w:rFonts w:ascii="Arial" w:eastAsia="Times New Roman" w:hAnsi="Arial" w:cs="Arial"/>
                <w:bCs/>
                <w:sz w:val="18"/>
                <w:szCs w:val="18"/>
                <w:lang w:eastAsia="es-CR"/>
              </w:rPr>
              <w:t>88</w:t>
            </w:r>
          </w:p>
        </w:tc>
        <w:tc>
          <w:tcPr>
            <w:tcW w:w="1773" w:type="dxa"/>
            <w:shd w:val="clear" w:color="auto" w:fill="auto"/>
            <w:vAlign w:val="center"/>
          </w:tcPr>
          <w:p w:rsidR="00623888" w:rsidRPr="0035377E" w:rsidRDefault="00623888" w:rsidP="00623888">
            <w:pPr>
              <w:spacing w:after="0" w:line="240" w:lineRule="auto"/>
              <w:jc w:val="both"/>
              <w:rPr>
                <w:rFonts w:ascii="Arial" w:eastAsia="Times New Roman" w:hAnsi="Arial" w:cs="Arial"/>
                <w:bCs/>
                <w:sz w:val="18"/>
                <w:szCs w:val="18"/>
                <w:lang w:eastAsia="es-CR"/>
              </w:rPr>
            </w:pPr>
            <w:r w:rsidRPr="0035377E">
              <w:rPr>
                <w:rFonts w:ascii="Arial" w:eastAsia="Times New Roman" w:hAnsi="Arial" w:cs="Arial"/>
                <w:bCs/>
                <w:sz w:val="18"/>
                <w:szCs w:val="18"/>
                <w:lang w:eastAsia="es-CR"/>
              </w:rPr>
              <w:t>846,0</w:t>
            </w:r>
          </w:p>
        </w:tc>
        <w:tc>
          <w:tcPr>
            <w:tcW w:w="1773" w:type="dxa"/>
            <w:vAlign w:val="bottom"/>
          </w:tcPr>
          <w:p w:rsidR="00623888" w:rsidRPr="0035377E" w:rsidRDefault="00623888" w:rsidP="00623888">
            <w:pPr>
              <w:spacing w:after="0" w:line="240" w:lineRule="auto"/>
              <w:jc w:val="both"/>
              <w:rPr>
                <w:rFonts w:ascii="Arial" w:eastAsia="Times New Roman" w:hAnsi="Arial" w:cs="Arial"/>
                <w:bCs/>
                <w:sz w:val="18"/>
                <w:szCs w:val="18"/>
                <w:lang w:eastAsia="es-CR"/>
              </w:rPr>
            </w:pPr>
            <w:r w:rsidRPr="0035377E">
              <w:rPr>
                <w:rFonts w:ascii="Arial" w:eastAsia="Times New Roman" w:hAnsi="Arial" w:cs="Arial"/>
                <w:bCs/>
                <w:sz w:val="18"/>
                <w:szCs w:val="18"/>
                <w:lang w:eastAsia="es-CR"/>
              </w:rPr>
              <w:t>2%</w:t>
            </w:r>
          </w:p>
        </w:tc>
      </w:tr>
      <w:tr w:rsidR="00623888" w:rsidRPr="0035377E" w:rsidTr="00BC1A0F">
        <w:trPr>
          <w:trHeight w:val="265"/>
          <w:jc w:val="center"/>
        </w:trPr>
        <w:tc>
          <w:tcPr>
            <w:tcW w:w="1773" w:type="dxa"/>
            <w:shd w:val="clear" w:color="auto" w:fill="auto"/>
            <w:vAlign w:val="center"/>
          </w:tcPr>
          <w:p w:rsidR="00623888" w:rsidRPr="0035377E" w:rsidRDefault="00623888" w:rsidP="00623888">
            <w:pPr>
              <w:spacing w:after="0" w:line="240" w:lineRule="auto"/>
              <w:jc w:val="both"/>
              <w:rPr>
                <w:rFonts w:ascii="Arial" w:eastAsia="Times New Roman" w:hAnsi="Arial" w:cs="Arial"/>
                <w:bCs/>
                <w:sz w:val="18"/>
                <w:szCs w:val="18"/>
                <w:lang w:eastAsia="es-CR"/>
              </w:rPr>
            </w:pPr>
            <w:r w:rsidRPr="0035377E">
              <w:rPr>
                <w:rFonts w:ascii="Arial" w:eastAsia="Times New Roman" w:hAnsi="Arial" w:cs="Arial"/>
                <w:bCs/>
                <w:sz w:val="18"/>
                <w:szCs w:val="18"/>
                <w:lang w:eastAsia="es-CR"/>
              </w:rPr>
              <w:t>3 - 6</w:t>
            </w:r>
          </w:p>
        </w:tc>
        <w:tc>
          <w:tcPr>
            <w:tcW w:w="1773" w:type="dxa"/>
            <w:shd w:val="clear" w:color="auto" w:fill="auto"/>
            <w:vAlign w:val="center"/>
          </w:tcPr>
          <w:p w:rsidR="00623888" w:rsidRPr="0035377E" w:rsidRDefault="00623888" w:rsidP="00623888">
            <w:pPr>
              <w:spacing w:after="0" w:line="240" w:lineRule="auto"/>
              <w:jc w:val="both"/>
              <w:rPr>
                <w:rFonts w:ascii="Arial" w:eastAsia="Times New Roman" w:hAnsi="Arial" w:cs="Arial"/>
                <w:bCs/>
                <w:sz w:val="18"/>
                <w:szCs w:val="18"/>
                <w:lang w:eastAsia="es-CR"/>
              </w:rPr>
            </w:pPr>
            <w:r w:rsidRPr="0035377E">
              <w:rPr>
                <w:rFonts w:ascii="Arial" w:eastAsia="Times New Roman" w:hAnsi="Arial" w:cs="Arial"/>
                <w:bCs/>
                <w:sz w:val="18"/>
                <w:szCs w:val="18"/>
                <w:lang w:eastAsia="es-CR"/>
              </w:rPr>
              <w:t>287</w:t>
            </w:r>
          </w:p>
        </w:tc>
        <w:tc>
          <w:tcPr>
            <w:tcW w:w="1773" w:type="dxa"/>
            <w:shd w:val="clear" w:color="auto" w:fill="auto"/>
            <w:vAlign w:val="center"/>
          </w:tcPr>
          <w:p w:rsidR="00623888" w:rsidRPr="0035377E" w:rsidRDefault="00623888" w:rsidP="00623888">
            <w:pPr>
              <w:spacing w:after="0" w:line="240" w:lineRule="auto"/>
              <w:jc w:val="both"/>
              <w:rPr>
                <w:rFonts w:ascii="Arial" w:eastAsia="Times New Roman" w:hAnsi="Arial" w:cs="Arial"/>
                <w:bCs/>
                <w:sz w:val="18"/>
                <w:szCs w:val="18"/>
                <w:lang w:eastAsia="es-CR"/>
              </w:rPr>
            </w:pPr>
            <w:r w:rsidRPr="0035377E">
              <w:rPr>
                <w:rFonts w:ascii="Arial" w:eastAsia="Times New Roman" w:hAnsi="Arial" w:cs="Arial"/>
                <w:bCs/>
                <w:sz w:val="18"/>
                <w:szCs w:val="18"/>
                <w:lang w:eastAsia="es-CR"/>
              </w:rPr>
              <w:t>3.477,5</w:t>
            </w:r>
          </w:p>
        </w:tc>
        <w:tc>
          <w:tcPr>
            <w:tcW w:w="1773" w:type="dxa"/>
            <w:vAlign w:val="bottom"/>
          </w:tcPr>
          <w:p w:rsidR="00623888" w:rsidRPr="0035377E" w:rsidRDefault="00623888" w:rsidP="00623888">
            <w:pPr>
              <w:spacing w:after="0" w:line="240" w:lineRule="auto"/>
              <w:jc w:val="both"/>
              <w:rPr>
                <w:rFonts w:ascii="Arial" w:eastAsia="Times New Roman" w:hAnsi="Arial" w:cs="Arial"/>
                <w:bCs/>
                <w:sz w:val="18"/>
                <w:szCs w:val="18"/>
                <w:lang w:eastAsia="es-CR"/>
              </w:rPr>
            </w:pPr>
            <w:r w:rsidRPr="0035377E">
              <w:rPr>
                <w:rFonts w:ascii="Arial" w:eastAsia="Times New Roman" w:hAnsi="Arial" w:cs="Arial"/>
                <w:bCs/>
                <w:sz w:val="18"/>
                <w:szCs w:val="18"/>
                <w:lang w:eastAsia="es-CR"/>
              </w:rPr>
              <w:t>7%</w:t>
            </w:r>
          </w:p>
        </w:tc>
      </w:tr>
      <w:tr w:rsidR="00623888" w:rsidRPr="0035377E" w:rsidTr="00BC1A0F">
        <w:trPr>
          <w:trHeight w:val="265"/>
          <w:jc w:val="center"/>
        </w:trPr>
        <w:tc>
          <w:tcPr>
            <w:tcW w:w="1773" w:type="dxa"/>
            <w:shd w:val="clear" w:color="auto" w:fill="auto"/>
            <w:vAlign w:val="center"/>
          </w:tcPr>
          <w:p w:rsidR="00623888" w:rsidRPr="0035377E" w:rsidRDefault="00623888" w:rsidP="00623888">
            <w:pPr>
              <w:spacing w:after="0" w:line="240" w:lineRule="auto"/>
              <w:jc w:val="both"/>
              <w:rPr>
                <w:rFonts w:ascii="Arial" w:eastAsia="Times New Roman" w:hAnsi="Arial" w:cs="Arial"/>
                <w:bCs/>
                <w:sz w:val="18"/>
                <w:szCs w:val="18"/>
                <w:lang w:eastAsia="es-CR"/>
              </w:rPr>
            </w:pPr>
            <w:r w:rsidRPr="0035377E">
              <w:rPr>
                <w:rFonts w:ascii="Arial" w:eastAsia="Times New Roman" w:hAnsi="Arial" w:cs="Arial"/>
                <w:bCs/>
                <w:sz w:val="18"/>
                <w:szCs w:val="18"/>
                <w:lang w:eastAsia="es-CR"/>
              </w:rPr>
              <w:t>4 - 7</w:t>
            </w:r>
          </w:p>
        </w:tc>
        <w:tc>
          <w:tcPr>
            <w:tcW w:w="1773" w:type="dxa"/>
            <w:shd w:val="clear" w:color="auto" w:fill="auto"/>
            <w:vAlign w:val="center"/>
          </w:tcPr>
          <w:p w:rsidR="00623888" w:rsidRPr="0035377E" w:rsidRDefault="00623888" w:rsidP="00623888">
            <w:pPr>
              <w:spacing w:after="0" w:line="240" w:lineRule="auto"/>
              <w:jc w:val="both"/>
              <w:rPr>
                <w:rFonts w:ascii="Arial" w:eastAsia="Times New Roman" w:hAnsi="Arial" w:cs="Arial"/>
                <w:bCs/>
                <w:sz w:val="18"/>
                <w:szCs w:val="18"/>
                <w:lang w:eastAsia="es-CR"/>
              </w:rPr>
            </w:pPr>
            <w:r w:rsidRPr="0035377E">
              <w:rPr>
                <w:rFonts w:ascii="Arial" w:eastAsia="Times New Roman" w:hAnsi="Arial" w:cs="Arial"/>
                <w:bCs/>
                <w:sz w:val="18"/>
                <w:szCs w:val="18"/>
                <w:lang w:eastAsia="es-CR"/>
              </w:rPr>
              <w:t>441</w:t>
            </w:r>
          </w:p>
        </w:tc>
        <w:tc>
          <w:tcPr>
            <w:tcW w:w="1773" w:type="dxa"/>
            <w:shd w:val="clear" w:color="auto" w:fill="auto"/>
            <w:vAlign w:val="center"/>
          </w:tcPr>
          <w:p w:rsidR="00623888" w:rsidRPr="0035377E" w:rsidRDefault="00623888" w:rsidP="00623888">
            <w:pPr>
              <w:spacing w:after="0" w:line="240" w:lineRule="auto"/>
              <w:jc w:val="both"/>
              <w:rPr>
                <w:rFonts w:ascii="Arial" w:eastAsia="Times New Roman" w:hAnsi="Arial" w:cs="Arial"/>
                <w:bCs/>
                <w:sz w:val="18"/>
                <w:szCs w:val="18"/>
                <w:lang w:eastAsia="es-CR"/>
              </w:rPr>
            </w:pPr>
            <w:r w:rsidRPr="0035377E">
              <w:rPr>
                <w:rFonts w:ascii="Arial" w:eastAsia="Times New Roman" w:hAnsi="Arial" w:cs="Arial"/>
                <w:bCs/>
                <w:sz w:val="18"/>
                <w:szCs w:val="18"/>
                <w:lang w:eastAsia="es-CR"/>
              </w:rPr>
              <w:t>5.782,0</w:t>
            </w:r>
          </w:p>
        </w:tc>
        <w:tc>
          <w:tcPr>
            <w:tcW w:w="1773" w:type="dxa"/>
            <w:vAlign w:val="bottom"/>
          </w:tcPr>
          <w:p w:rsidR="00623888" w:rsidRPr="0035377E" w:rsidRDefault="00623888" w:rsidP="00623888">
            <w:pPr>
              <w:spacing w:after="0" w:line="240" w:lineRule="auto"/>
              <w:jc w:val="both"/>
              <w:rPr>
                <w:rFonts w:ascii="Arial" w:eastAsia="Times New Roman" w:hAnsi="Arial" w:cs="Arial"/>
                <w:bCs/>
                <w:sz w:val="18"/>
                <w:szCs w:val="18"/>
                <w:lang w:eastAsia="es-CR"/>
              </w:rPr>
            </w:pPr>
            <w:r w:rsidRPr="0035377E">
              <w:rPr>
                <w:rFonts w:ascii="Arial" w:eastAsia="Times New Roman" w:hAnsi="Arial" w:cs="Arial"/>
                <w:bCs/>
                <w:sz w:val="18"/>
                <w:szCs w:val="18"/>
                <w:lang w:eastAsia="es-CR"/>
              </w:rPr>
              <w:t>11%</w:t>
            </w:r>
          </w:p>
        </w:tc>
      </w:tr>
      <w:tr w:rsidR="00623888" w:rsidRPr="0035377E" w:rsidTr="00BC1A0F">
        <w:trPr>
          <w:trHeight w:val="265"/>
          <w:jc w:val="center"/>
        </w:trPr>
        <w:tc>
          <w:tcPr>
            <w:tcW w:w="1773" w:type="dxa"/>
            <w:shd w:val="clear" w:color="auto" w:fill="auto"/>
            <w:vAlign w:val="center"/>
          </w:tcPr>
          <w:p w:rsidR="00623888" w:rsidRPr="0035377E" w:rsidRDefault="00623888" w:rsidP="00623888">
            <w:pPr>
              <w:spacing w:after="0" w:line="240" w:lineRule="auto"/>
              <w:jc w:val="both"/>
              <w:rPr>
                <w:rFonts w:ascii="Arial" w:eastAsia="Times New Roman" w:hAnsi="Arial" w:cs="Arial"/>
                <w:bCs/>
                <w:sz w:val="18"/>
                <w:szCs w:val="18"/>
                <w:lang w:eastAsia="es-CR"/>
              </w:rPr>
            </w:pPr>
            <w:r w:rsidRPr="0035377E">
              <w:rPr>
                <w:rFonts w:ascii="Arial" w:eastAsia="Times New Roman" w:hAnsi="Arial" w:cs="Arial"/>
                <w:bCs/>
                <w:sz w:val="18"/>
                <w:szCs w:val="18"/>
                <w:lang w:eastAsia="es-CR"/>
              </w:rPr>
              <w:t>5 - 8</w:t>
            </w:r>
          </w:p>
        </w:tc>
        <w:tc>
          <w:tcPr>
            <w:tcW w:w="1773" w:type="dxa"/>
            <w:shd w:val="clear" w:color="auto" w:fill="auto"/>
            <w:vAlign w:val="center"/>
          </w:tcPr>
          <w:p w:rsidR="00623888" w:rsidRPr="0035377E" w:rsidRDefault="00623888" w:rsidP="00623888">
            <w:pPr>
              <w:spacing w:after="0" w:line="240" w:lineRule="auto"/>
              <w:jc w:val="both"/>
              <w:rPr>
                <w:rFonts w:ascii="Arial" w:eastAsia="Times New Roman" w:hAnsi="Arial" w:cs="Arial"/>
                <w:bCs/>
                <w:sz w:val="18"/>
                <w:szCs w:val="18"/>
                <w:lang w:eastAsia="es-CR"/>
              </w:rPr>
            </w:pPr>
            <w:r w:rsidRPr="0035377E">
              <w:rPr>
                <w:rFonts w:ascii="Arial" w:eastAsia="Times New Roman" w:hAnsi="Arial" w:cs="Arial"/>
                <w:bCs/>
                <w:sz w:val="18"/>
                <w:szCs w:val="18"/>
                <w:lang w:eastAsia="es-CR"/>
              </w:rPr>
              <w:t>312</w:t>
            </w:r>
          </w:p>
        </w:tc>
        <w:tc>
          <w:tcPr>
            <w:tcW w:w="1773" w:type="dxa"/>
            <w:shd w:val="clear" w:color="auto" w:fill="auto"/>
            <w:vAlign w:val="center"/>
          </w:tcPr>
          <w:p w:rsidR="00623888" w:rsidRPr="0035377E" w:rsidRDefault="00623888" w:rsidP="00623888">
            <w:pPr>
              <w:spacing w:after="0" w:line="240" w:lineRule="auto"/>
              <w:jc w:val="both"/>
              <w:rPr>
                <w:rFonts w:ascii="Arial" w:eastAsia="Times New Roman" w:hAnsi="Arial" w:cs="Arial"/>
                <w:bCs/>
                <w:sz w:val="18"/>
                <w:szCs w:val="18"/>
                <w:lang w:eastAsia="es-CR"/>
              </w:rPr>
            </w:pPr>
            <w:r w:rsidRPr="0035377E">
              <w:rPr>
                <w:rFonts w:ascii="Arial" w:eastAsia="Times New Roman" w:hAnsi="Arial" w:cs="Arial"/>
                <w:bCs/>
                <w:sz w:val="18"/>
                <w:szCs w:val="18"/>
                <w:lang w:eastAsia="es-CR"/>
              </w:rPr>
              <w:t>3.773,0</w:t>
            </w:r>
          </w:p>
        </w:tc>
        <w:tc>
          <w:tcPr>
            <w:tcW w:w="1773" w:type="dxa"/>
            <w:vAlign w:val="bottom"/>
          </w:tcPr>
          <w:p w:rsidR="00623888" w:rsidRPr="0035377E" w:rsidRDefault="00623888" w:rsidP="00623888">
            <w:pPr>
              <w:spacing w:after="0" w:line="240" w:lineRule="auto"/>
              <w:jc w:val="both"/>
              <w:rPr>
                <w:rFonts w:ascii="Arial" w:eastAsia="Times New Roman" w:hAnsi="Arial" w:cs="Arial"/>
                <w:bCs/>
                <w:sz w:val="18"/>
                <w:szCs w:val="18"/>
                <w:lang w:eastAsia="es-CR"/>
              </w:rPr>
            </w:pPr>
            <w:r w:rsidRPr="0035377E">
              <w:rPr>
                <w:rFonts w:ascii="Arial" w:eastAsia="Times New Roman" w:hAnsi="Arial" w:cs="Arial"/>
                <w:bCs/>
                <w:sz w:val="18"/>
                <w:szCs w:val="18"/>
                <w:lang w:eastAsia="es-CR"/>
              </w:rPr>
              <w:t>7%</w:t>
            </w:r>
          </w:p>
        </w:tc>
      </w:tr>
      <w:tr w:rsidR="00623888" w:rsidRPr="0035377E" w:rsidTr="00BC1A0F">
        <w:trPr>
          <w:trHeight w:val="265"/>
          <w:jc w:val="center"/>
        </w:trPr>
        <w:tc>
          <w:tcPr>
            <w:tcW w:w="1773" w:type="dxa"/>
            <w:shd w:val="clear" w:color="auto" w:fill="auto"/>
            <w:vAlign w:val="center"/>
          </w:tcPr>
          <w:p w:rsidR="00623888" w:rsidRPr="0035377E" w:rsidRDefault="00623888" w:rsidP="00623888">
            <w:pPr>
              <w:spacing w:after="0" w:line="240" w:lineRule="auto"/>
              <w:jc w:val="both"/>
              <w:rPr>
                <w:rFonts w:ascii="Arial" w:eastAsia="Times New Roman" w:hAnsi="Arial" w:cs="Arial"/>
                <w:bCs/>
                <w:sz w:val="18"/>
                <w:szCs w:val="18"/>
                <w:lang w:eastAsia="es-CR"/>
              </w:rPr>
            </w:pPr>
            <w:r w:rsidRPr="0035377E">
              <w:rPr>
                <w:rFonts w:ascii="Arial" w:eastAsia="Times New Roman" w:hAnsi="Arial" w:cs="Arial"/>
                <w:bCs/>
                <w:sz w:val="18"/>
                <w:szCs w:val="18"/>
                <w:lang w:eastAsia="es-CR"/>
              </w:rPr>
              <w:t>6 - 9</w:t>
            </w:r>
          </w:p>
        </w:tc>
        <w:tc>
          <w:tcPr>
            <w:tcW w:w="1773" w:type="dxa"/>
            <w:shd w:val="clear" w:color="auto" w:fill="auto"/>
            <w:vAlign w:val="center"/>
          </w:tcPr>
          <w:p w:rsidR="00623888" w:rsidRPr="0035377E" w:rsidRDefault="00623888" w:rsidP="00623888">
            <w:pPr>
              <w:spacing w:after="0" w:line="240" w:lineRule="auto"/>
              <w:jc w:val="both"/>
              <w:rPr>
                <w:rFonts w:ascii="Arial" w:eastAsia="Times New Roman" w:hAnsi="Arial" w:cs="Arial"/>
                <w:bCs/>
                <w:sz w:val="18"/>
                <w:szCs w:val="18"/>
                <w:lang w:eastAsia="es-CR"/>
              </w:rPr>
            </w:pPr>
            <w:r w:rsidRPr="0035377E">
              <w:rPr>
                <w:rFonts w:ascii="Arial" w:eastAsia="Times New Roman" w:hAnsi="Arial" w:cs="Arial"/>
                <w:bCs/>
                <w:sz w:val="18"/>
                <w:szCs w:val="18"/>
                <w:lang w:eastAsia="es-CR"/>
              </w:rPr>
              <w:t>38</w:t>
            </w:r>
          </w:p>
        </w:tc>
        <w:tc>
          <w:tcPr>
            <w:tcW w:w="1773" w:type="dxa"/>
            <w:shd w:val="clear" w:color="auto" w:fill="auto"/>
            <w:vAlign w:val="center"/>
          </w:tcPr>
          <w:p w:rsidR="00623888" w:rsidRPr="0035377E" w:rsidRDefault="00623888" w:rsidP="00623888">
            <w:pPr>
              <w:spacing w:after="0" w:line="240" w:lineRule="auto"/>
              <w:jc w:val="both"/>
              <w:rPr>
                <w:rFonts w:ascii="Arial" w:eastAsia="Times New Roman" w:hAnsi="Arial" w:cs="Arial"/>
                <w:bCs/>
                <w:sz w:val="18"/>
                <w:szCs w:val="18"/>
                <w:lang w:eastAsia="es-CR"/>
              </w:rPr>
            </w:pPr>
            <w:r w:rsidRPr="0035377E">
              <w:rPr>
                <w:rFonts w:ascii="Arial" w:eastAsia="Times New Roman" w:hAnsi="Arial" w:cs="Arial"/>
                <w:bCs/>
                <w:sz w:val="18"/>
                <w:szCs w:val="18"/>
                <w:lang w:eastAsia="es-CR"/>
              </w:rPr>
              <w:t>500,0</w:t>
            </w:r>
          </w:p>
        </w:tc>
        <w:tc>
          <w:tcPr>
            <w:tcW w:w="1773" w:type="dxa"/>
            <w:vAlign w:val="bottom"/>
          </w:tcPr>
          <w:p w:rsidR="00623888" w:rsidRPr="0035377E" w:rsidRDefault="00623888" w:rsidP="00623888">
            <w:pPr>
              <w:spacing w:after="0" w:line="240" w:lineRule="auto"/>
              <w:jc w:val="both"/>
              <w:rPr>
                <w:rFonts w:ascii="Arial" w:eastAsia="Times New Roman" w:hAnsi="Arial" w:cs="Arial"/>
                <w:bCs/>
                <w:sz w:val="18"/>
                <w:szCs w:val="18"/>
                <w:lang w:eastAsia="es-CR"/>
              </w:rPr>
            </w:pPr>
            <w:r w:rsidRPr="0035377E">
              <w:rPr>
                <w:rFonts w:ascii="Arial" w:eastAsia="Times New Roman" w:hAnsi="Arial" w:cs="Arial"/>
                <w:bCs/>
                <w:sz w:val="18"/>
                <w:szCs w:val="18"/>
                <w:lang w:eastAsia="es-CR"/>
              </w:rPr>
              <w:t>1%</w:t>
            </w:r>
          </w:p>
        </w:tc>
      </w:tr>
      <w:tr w:rsidR="00623888" w:rsidRPr="0035377E" w:rsidTr="00BC1A0F">
        <w:trPr>
          <w:trHeight w:val="265"/>
          <w:jc w:val="center"/>
        </w:trPr>
        <w:tc>
          <w:tcPr>
            <w:tcW w:w="1773" w:type="dxa"/>
            <w:shd w:val="clear" w:color="auto" w:fill="auto"/>
            <w:vAlign w:val="center"/>
          </w:tcPr>
          <w:p w:rsidR="00623888" w:rsidRPr="0035377E" w:rsidRDefault="00623888" w:rsidP="00623888">
            <w:pPr>
              <w:spacing w:after="0" w:line="240" w:lineRule="auto"/>
              <w:jc w:val="both"/>
              <w:rPr>
                <w:rFonts w:ascii="Arial" w:eastAsia="Times New Roman" w:hAnsi="Arial" w:cs="Arial"/>
                <w:bCs/>
                <w:sz w:val="18"/>
                <w:szCs w:val="18"/>
                <w:lang w:eastAsia="es-CR"/>
              </w:rPr>
            </w:pPr>
            <w:r w:rsidRPr="0035377E">
              <w:rPr>
                <w:rFonts w:ascii="Arial" w:eastAsia="Times New Roman" w:hAnsi="Arial" w:cs="Arial"/>
                <w:bCs/>
                <w:sz w:val="18"/>
                <w:szCs w:val="18"/>
                <w:lang w:eastAsia="es-CR"/>
              </w:rPr>
              <w:t>7 - 10</w:t>
            </w:r>
          </w:p>
        </w:tc>
        <w:tc>
          <w:tcPr>
            <w:tcW w:w="1773" w:type="dxa"/>
            <w:shd w:val="clear" w:color="auto" w:fill="auto"/>
            <w:vAlign w:val="center"/>
          </w:tcPr>
          <w:p w:rsidR="00623888" w:rsidRPr="0035377E" w:rsidRDefault="00623888" w:rsidP="00623888">
            <w:pPr>
              <w:spacing w:after="0" w:line="240" w:lineRule="auto"/>
              <w:jc w:val="both"/>
              <w:rPr>
                <w:rFonts w:ascii="Arial" w:eastAsia="Times New Roman" w:hAnsi="Arial" w:cs="Arial"/>
                <w:bCs/>
                <w:sz w:val="18"/>
                <w:szCs w:val="18"/>
                <w:lang w:eastAsia="es-CR"/>
              </w:rPr>
            </w:pPr>
            <w:r w:rsidRPr="0035377E">
              <w:rPr>
                <w:rFonts w:ascii="Arial" w:eastAsia="Times New Roman" w:hAnsi="Arial" w:cs="Arial"/>
                <w:bCs/>
                <w:sz w:val="18"/>
                <w:szCs w:val="18"/>
                <w:lang w:eastAsia="es-CR"/>
              </w:rPr>
              <w:t>253</w:t>
            </w:r>
          </w:p>
        </w:tc>
        <w:tc>
          <w:tcPr>
            <w:tcW w:w="1773" w:type="dxa"/>
            <w:shd w:val="clear" w:color="auto" w:fill="auto"/>
            <w:vAlign w:val="center"/>
          </w:tcPr>
          <w:p w:rsidR="00623888" w:rsidRPr="0035377E" w:rsidRDefault="00623888" w:rsidP="00623888">
            <w:pPr>
              <w:spacing w:after="0" w:line="240" w:lineRule="auto"/>
              <w:jc w:val="both"/>
              <w:rPr>
                <w:rFonts w:ascii="Arial" w:eastAsia="Times New Roman" w:hAnsi="Arial" w:cs="Arial"/>
                <w:bCs/>
                <w:sz w:val="18"/>
                <w:szCs w:val="18"/>
                <w:lang w:eastAsia="es-CR"/>
              </w:rPr>
            </w:pPr>
            <w:r w:rsidRPr="0035377E">
              <w:rPr>
                <w:rFonts w:ascii="Arial" w:eastAsia="Times New Roman" w:hAnsi="Arial" w:cs="Arial"/>
                <w:bCs/>
                <w:sz w:val="18"/>
                <w:szCs w:val="18"/>
                <w:lang w:eastAsia="es-CR"/>
              </w:rPr>
              <w:t>3.215,0</w:t>
            </w:r>
          </w:p>
        </w:tc>
        <w:tc>
          <w:tcPr>
            <w:tcW w:w="1773" w:type="dxa"/>
            <w:vAlign w:val="bottom"/>
          </w:tcPr>
          <w:p w:rsidR="00623888" w:rsidRPr="0035377E" w:rsidRDefault="00623888" w:rsidP="00623888">
            <w:pPr>
              <w:spacing w:after="0" w:line="240" w:lineRule="auto"/>
              <w:jc w:val="both"/>
              <w:rPr>
                <w:rFonts w:ascii="Arial" w:eastAsia="Times New Roman" w:hAnsi="Arial" w:cs="Arial"/>
                <w:bCs/>
                <w:sz w:val="18"/>
                <w:szCs w:val="18"/>
                <w:lang w:eastAsia="es-CR"/>
              </w:rPr>
            </w:pPr>
            <w:r w:rsidRPr="0035377E">
              <w:rPr>
                <w:rFonts w:ascii="Arial" w:eastAsia="Times New Roman" w:hAnsi="Arial" w:cs="Arial"/>
                <w:bCs/>
                <w:sz w:val="18"/>
                <w:szCs w:val="18"/>
                <w:lang w:eastAsia="es-CR"/>
              </w:rPr>
              <w:t>6%</w:t>
            </w:r>
          </w:p>
        </w:tc>
      </w:tr>
      <w:tr w:rsidR="00623888" w:rsidRPr="0035377E" w:rsidTr="00BC1A0F">
        <w:trPr>
          <w:trHeight w:val="265"/>
          <w:jc w:val="center"/>
        </w:trPr>
        <w:tc>
          <w:tcPr>
            <w:tcW w:w="1773" w:type="dxa"/>
            <w:shd w:val="clear" w:color="auto" w:fill="auto"/>
            <w:vAlign w:val="center"/>
          </w:tcPr>
          <w:p w:rsidR="00623888" w:rsidRPr="0035377E" w:rsidRDefault="00623888" w:rsidP="00623888">
            <w:pPr>
              <w:spacing w:after="0" w:line="240" w:lineRule="auto"/>
              <w:jc w:val="both"/>
              <w:rPr>
                <w:rFonts w:ascii="Arial" w:eastAsia="Times New Roman" w:hAnsi="Arial" w:cs="Arial"/>
                <w:bCs/>
                <w:sz w:val="18"/>
                <w:szCs w:val="18"/>
                <w:lang w:eastAsia="es-CR"/>
              </w:rPr>
            </w:pPr>
            <w:r w:rsidRPr="0035377E">
              <w:rPr>
                <w:rFonts w:ascii="Arial" w:eastAsia="Times New Roman" w:hAnsi="Arial" w:cs="Arial"/>
                <w:bCs/>
                <w:sz w:val="18"/>
                <w:szCs w:val="18"/>
                <w:lang w:eastAsia="es-CR"/>
              </w:rPr>
              <w:t>8 - 11</w:t>
            </w:r>
          </w:p>
        </w:tc>
        <w:tc>
          <w:tcPr>
            <w:tcW w:w="1773" w:type="dxa"/>
            <w:shd w:val="clear" w:color="auto" w:fill="auto"/>
            <w:vAlign w:val="center"/>
          </w:tcPr>
          <w:p w:rsidR="00623888" w:rsidRPr="0035377E" w:rsidRDefault="00623888" w:rsidP="00623888">
            <w:pPr>
              <w:spacing w:after="0" w:line="240" w:lineRule="auto"/>
              <w:jc w:val="both"/>
              <w:rPr>
                <w:rFonts w:ascii="Arial" w:eastAsia="Times New Roman" w:hAnsi="Arial" w:cs="Arial"/>
                <w:bCs/>
                <w:sz w:val="18"/>
                <w:szCs w:val="18"/>
                <w:lang w:eastAsia="es-CR"/>
              </w:rPr>
            </w:pPr>
            <w:r w:rsidRPr="0035377E">
              <w:rPr>
                <w:rFonts w:ascii="Arial" w:eastAsia="Times New Roman" w:hAnsi="Arial" w:cs="Arial"/>
                <w:bCs/>
                <w:sz w:val="18"/>
                <w:szCs w:val="18"/>
                <w:lang w:eastAsia="es-CR"/>
              </w:rPr>
              <w:t>59</w:t>
            </w:r>
          </w:p>
        </w:tc>
        <w:tc>
          <w:tcPr>
            <w:tcW w:w="1773" w:type="dxa"/>
            <w:shd w:val="clear" w:color="auto" w:fill="auto"/>
            <w:vAlign w:val="center"/>
          </w:tcPr>
          <w:p w:rsidR="00623888" w:rsidRPr="0035377E" w:rsidRDefault="00623888" w:rsidP="00623888">
            <w:pPr>
              <w:spacing w:after="0" w:line="240" w:lineRule="auto"/>
              <w:jc w:val="both"/>
              <w:rPr>
                <w:rFonts w:ascii="Arial" w:eastAsia="Times New Roman" w:hAnsi="Arial" w:cs="Arial"/>
                <w:bCs/>
                <w:sz w:val="18"/>
                <w:szCs w:val="18"/>
                <w:lang w:eastAsia="es-CR"/>
              </w:rPr>
            </w:pPr>
            <w:r w:rsidRPr="0035377E">
              <w:rPr>
                <w:rFonts w:ascii="Arial" w:eastAsia="Times New Roman" w:hAnsi="Arial" w:cs="Arial"/>
                <w:bCs/>
                <w:sz w:val="18"/>
                <w:szCs w:val="18"/>
                <w:lang w:eastAsia="es-CR"/>
              </w:rPr>
              <w:t>675,0</w:t>
            </w:r>
          </w:p>
        </w:tc>
        <w:tc>
          <w:tcPr>
            <w:tcW w:w="1773" w:type="dxa"/>
            <w:vAlign w:val="bottom"/>
          </w:tcPr>
          <w:p w:rsidR="00623888" w:rsidRPr="0035377E" w:rsidRDefault="00623888" w:rsidP="00623888">
            <w:pPr>
              <w:spacing w:after="0" w:line="240" w:lineRule="auto"/>
              <w:jc w:val="both"/>
              <w:rPr>
                <w:rFonts w:ascii="Arial" w:eastAsia="Times New Roman" w:hAnsi="Arial" w:cs="Arial"/>
                <w:bCs/>
                <w:sz w:val="18"/>
                <w:szCs w:val="18"/>
                <w:lang w:eastAsia="es-CR"/>
              </w:rPr>
            </w:pPr>
            <w:r w:rsidRPr="0035377E">
              <w:rPr>
                <w:rFonts w:ascii="Arial" w:eastAsia="Times New Roman" w:hAnsi="Arial" w:cs="Arial"/>
                <w:bCs/>
                <w:sz w:val="18"/>
                <w:szCs w:val="18"/>
                <w:lang w:eastAsia="es-CR"/>
              </w:rPr>
              <w:t>1%</w:t>
            </w:r>
          </w:p>
        </w:tc>
      </w:tr>
      <w:tr w:rsidR="00623888" w:rsidRPr="0035377E" w:rsidTr="00BC1A0F">
        <w:trPr>
          <w:trHeight w:val="265"/>
          <w:jc w:val="center"/>
        </w:trPr>
        <w:tc>
          <w:tcPr>
            <w:tcW w:w="1773" w:type="dxa"/>
            <w:shd w:val="clear" w:color="auto" w:fill="auto"/>
            <w:vAlign w:val="center"/>
          </w:tcPr>
          <w:p w:rsidR="00623888" w:rsidRPr="0035377E" w:rsidRDefault="00623888" w:rsidP="00623888">
            <w:pPr>
              <w:spacing w:after="0" w:line="240" w:lineRule="auto"/>
              <w:jc w:val="both"/>
              <w:rPr>
                <w:rFonts w:ascii="Arial" w:eastAsia="Times New Roman" w:hAnsi="Arial" w:cs="Arial"/>
                <w:bCs/>
                <w:sz w:val="18"/>
                <w:szCs w:val="18"/>
                <w:lang w:eastAsia="es-CR"/>
              </w:rPr>
            </w:pPr>
            <w:r w:rsidRPr="0035377E">
              <w:rPr>
                <w:rFonts w:ascii="Arial" w:eastAsia="Times New Roman" w:hAnsi="Arial" w:cs="Arial"/>
                <w:bCs/>
                <w:sz w:val="18"/>
                <w:szCs w:val="18"/>
                <w:lang w:eastAsia="es-CR"/>
              </w:rPr>
              <w:t>9 - 12</w:t>
            </w:r>
          </w:p>
        </w:tc>
        <w:tc>
          <w:tcPr>
            <w:tcW w:w="1773" w:type="dxa"/>
            <w:shd w:val="clear" w:color="auto" w:fill="auto"/>
            <w:vAlign w:val="center"/>
          </w:tcPr>
          <w:p w:rsidR="00623888" w:rsidRPr="0035377E" w:rsidRDefault="00623888" w:rsidP="00623888">
            <w:pPr>
              <w:spacing w:after="0" w:line="240" w:lineRule="auto"/>
              <w:jc w:val="both"/>
              <w:rPr>
                <w:rFonts w:ascii="Arial" w:eastAsia="Times New Roman" w:hAnsi="Arial" w:cs="Arial"/>
                <w:bCs/>
                <w:sz w:val="18"/>
                <w:szCs w:val="18"/>
                <w:lang w:eastAsia="es-CR"/>
              </w:rPr>
            </w:pPr>
            <w:r w:rsidRPr="0035377E">
              <w:rPr>
                <w:rFonts w:ascii="Arial" w:eastAsia="Times New Roman" w:hAnsi="Arial" w:cs="Arial"/>
                <w:bCs/>
                <w:sz w:val="18"/>
                <w:szCs w:val="18"/>
                <w:lang w:eastAsia="es-CR"/>
              </w:rPr>
              <w:t>15</w:t>
            </w:r>
          </w:p>
        </w:tc>
        <w:tc>
          <w:tcPr>
            <w:tcW w:w="1773" w:type="dxa"/>
            <w:shd w:val="clear" w:color="auto" w:fill="auto"/>
            <w:vAlign w:val="center"/>
          </w:tcPr>
          <w:p w:rsidR="00623888" w:rsidRPr="0035377E" w:rsidRDefault="00623888" w:rsidP="00623888">
            <w:pPr>
              <w:spacing w:after="0" w:line="240" w:lineRule="auto"/>
              <w:jc w:val="both"/>
              <w:rPr>
                <w:rFonts w:ascii="Arial" w:eastAsia="Times New Roman" w:hAnsi="Arial" w:cs="Arial"/>
                <w:bCs/>
                <w:sz w:val="18"/>
                <w:szCs w:val="18"/>
                <w:lang w:eastAsia="es-CR"/>
              </w:rPr>
            </w:pPr>
            <w:r w:rsidRPr="0035377E">
              <w:rPr>
                <w:rFonts w:ascii="Arial" w:eastAsia="Times New Roman" w:hAnsi="Arial" w:cs="Arial"/>
                <w:bCs/>
                <w:sz w:val="18"/>
                <w:szCs w:val="18"/>
                <w:lang w:eastAsia="es-CR"/>
              </w:rPr>
              <w:t>210,0</w:t>
            </w:r>
          </w:p>
        </w:tc>
        <w:tc>
          <w:tcPr>
            <w:tcW w:w="1773" w:type="dxa"/>
            <w:vAlign w:val="bottom"/>
          </w:tcPr>
          <w:p w:rsidR="00623888" w:rsidRPr="0035377E" w:rsidRDefault="00623888" w:rsidP="00623888">
            <w:pPr>
              <w:spacing w:after="0" w:line="240" w:lineRule="auto"/>
              <w:jc w:val="both"/>
              <w:rPr>
                <w:rFonts w:ascii="Arial" w:eastAsia="Times New Roman" w:hAnsi="Arial" w:cs="Arial"/>
                <w:bCs/>
                <w:sz w:val="18"/>
                <w:szCs w:val="18"/>
                <w:lang w:eastAsia="es-CR"/>
              </w:rPr>
            </w:pPr>
            <w:r w:rsidRPr="0035377E">
              <w:rPr>
                <w:rFonts w:ascii="Arial" w:eastAsia="Times New Roman" w:hAnsi="Arial" w:cs="Arial"/>
                <w:bCs/>
                <w:sz w:val="18"/>
                <w:szCs w:val="18"/>
                <w:lang w:eastAsia="es-CR"/>
              </w:rPr>
              <w:t>0%</w:t>
            </w:r>
          </w:p>
        </w:tc>
      </w:tr>
      <w:tr w:rsidR="00623888" w:rsidRPr="0035377E" w:rsidTr="00BC1A0F">
        <w:trPr>
          <w:trHeight w:val="283"/>
          <w:jc w:val="center"/>
        </w:trPr>
        <w:tc>
          <w:tcPr>
            <w:tcW w:w="1773" w:type="dxa"/>
            <w:shd w:val="clear" w:color="auto" w:fill="auto"/>
            <w:vAlign w:val="center"/>
          </w:tcPr>
          <w:p w:rsidR="00623888" w:rsidRPr="0035377E" w:rsidRDefault="00623888" w:rsidP="00623888">
            <w:pPr>
              <w:spacing w:after="0" w:line="240" w:lineRule="auto"/>
              <w:jc w:val="both"/>
              <w:rPr>
                <w:rFonts w:ascii="Arial" w:eastAsia="Times New Roman" w:hAnsi="Arial" w:cs="Arial"/>
                <w:bCs/>
                <w:sz w:val="18"/>
                <w:szCs w:val="18"/>
                <w:lang w:eastAsia="es-CR"/>
              </w:rPr>
            </w:pPr>
            <w:r w:rsidRPr="0035377E">
              <w:rPr>
                <w:rFonts w:ascii="Arial" w:eastAsia="Times New Roman" w:hAnsi="Arial" w:cs="Arial"/>
                <w:bCs/>
                <w:sz w:val="18"/>
                <w:szCs w:val="18"/>
                <w:lang w:eastAsia="es-CR"/>
              </w:rPr>
              <w:t>10 - 12</w:t>
            </w:r>
          </w:p>
        </w:tc>
        <w:tc>
          <w:tcPr>
            <w:tcW w:w="1773" w:type="dxa"/>
            <w:shd w:val="clear" w:color="auto" w:fill="auto"/>
            <w:vAlign w:val="center"/>
          </w:tcPr>
          <w:p w:rsidR="00623888" w:rsidRPr="0035377E" w:rsidRDefault="00623888" w:rsidP="00623888">
            <w:pPr>
              <w:spacing w:after="0" w:line="240" w:lineRule="auto"/>
              <w:jc w:val="both"/>
              <w:rPr>
                <w:rFonts w:ascii="Arial" w:eastAsia="Times New Roman" w:hAnsi="Arial" w:cs="Arial"/>
                <w:bCs/>
                <w:sz w:val="18"/>
                <w:szCs w:val="18"/>
                <w:lang w:eastAsia="es-CR"/>
              </w:rPr>
            </w:pPr>
            <w:r w:rsidRPr="0035377E">
              <w:rPr>
                <w:rFonts w:ascii="Arial" w:eastAsia="Times New Roman" w:hAnsi="Arial" w:cs="Arial"/>
                <w:bCs/>
                <w:sz w:val="18"/>
                <w:szCs w:val="18"/>
                <w:lang w:eastAsia="es-CR"/>
              </w:rPr>
              <w:t>2715</w:t>
            </w:r>
          </w:p>
        </w:tc>
        <w:tc>
          <w:tcPr>
            <w:tcW w:w="1773" w:type="dxa"/>
            <w:shd w:val="clear" w:color="auto" w:fill="auto"/>
            <w:vAlign w:val="center"/>
          </w:tcPr>
          <w:p w:rsidR="00623888" w:rsidRPr="0035377E" w:rsidRDefault="00623888" w:rsidP="00623888">
            <w:pPr>
              <w:spacing w:after="0" w:line="240" w:lineRule="auto"/>
              <w:jc w:val="both"/>
              <w:rPr>
                <w:rFonts w:ascii="Arial" w:eastAsia="Times New Roman" w:hAnsi="Arial" w:cs="Arial"/>
                <w:bCs/>
                <w:sz w:val="18"/>
                <w:szCs w:val="18"/>
                <w:lang w:eastAsia="es-CR"/>
              </w:rPr>
            </w:pPr>
            <w:r w:rsidRPr="0035377E">
              <w:rPr>
                <w:rFonts w:ascii="Arial" w:eastAsia="Times New Roman" w:hAnsi="Arial" w:cs="Arial"/>
                <w:bCs/>
                <w:sz w:val="18"/>
                <w:szCs w:val="18"/>
                <w:lang w:eastAsia="es-CR"/>
              </w:rPr>
              <w:t>31.969,0</w:t>
            </w:r>
          </w:p>
        </w:tc>
        <w:tc>
          <w:tcPr>
            <w:tcW w:w="1773" w:type="dxa"/>
            <w:vAlign w:val="bottom"/>
          </w:tcPr>
          <w:p w:rsidR="00623888" w:rsidRPr="0035377E" w:rsidRDefault="00623888" w:rsidP="00623888">
            <w:pPr>
              <w:spacing w:after="0" w:line="240" w:lineRule="auto"/>
              <w:jc w:val="both"/>
              <w:rPr>
                <w:rFonts w:ascii="Arial" w:eastAsia="Times New Roman" w:hAnsi="Arial" w:cs="Arial"/>
                <w:bCs/>
                <w:sz w:val="18"/>
                <w:szCs w:val="18"/>
                <w:lang w:eastAsia="es-CR"/>
              </w:rPr>
            </w:pPr>
            <w:r w:rsidRPr="0035377E">
              <w:rPr>
                <w:rFonts w:ascii="Arial" w:eastAsia="Times New Roman" w:hAnsi="Arial" w:cs="Arial"/>
                <w:bCs/>
                <w:sz w:val="18"/>
                <w:szCs w:val="18"/>
                <w:lang w:eastAsia="es-CR"/>
              </w:rPr>
              <w:t>63%</w:t>
            </w:r>
          </w:p>
        </w:tc>
      </w:tr>
      <w:tr w:rsidR="00623888" w:rsidRPr="0035377E" w:rsidTr="00BC1A0F">
        <w:trPr>
          <w:trHeight w:val="283"/>
          <w:jc w:val="center"/>
        </w:trPr>
        <w:tc>
          <w:tcPr>
            <w:tcW w:w="1773" w:type="dxa"/>
            <w:shd w:val="clear" w:color="auto" w:fill="auto"/>
            <w:vAlign w:val="center"/>
          </w:tcPr>
          <w:p w:rsidR="00623888" w:rsidRPr="0035377E" w:rsidRDefault="00623888" w:rsidP="00623888">
            <w:pPr>
              <w:spacing w:after="0" w:line="240" w:lineRule="auto"/>
              <w:jc w:val="both"/>
              <w:rPr>
                <w:rFonts w:ascii="Arial" w:eastAsia="Times New Roman" w:hAnsi="Arial" w:cs="Arial"/>
                <w:bCs/>
                <w:sz w:val="18"/>
                <w:szCs w:val="18"/>
                <w:lang w:eastAsia="es-CR"/>
              </w:rPr>
            </w:pPr>
            <w:r w:rsidRPr="0035377E">
              <w:rPr>
                <w:rFonts w:ascii="Arial" w:eastAsia="Times New Roman" w:hAnsi="Arial" w:cs="Arial"/>
                <w:bCs/>
                <w:sz w:val="18"/>
                <w:szCs w:val="18"/>
                <w:lang w:eastAsia="es-CR"/>
              </w:rPr>
              <w:t>Total</w:t>
            </w:r>
          </w:p>
        </w:tc>
        <w:tc>
          <w:tcPr>
            <w:tcW w:w="1773" w:type="dxa"/>
            <w:shd w:val="clear" w:color="auto" w:fill="auto"/>
            <w:vAlign w:val="center"/>
          </w:tcPr>
          <w:p w:rsidR="00623888" w:rsidRPr="0035377E" w:rsidRDefault="00623888" w:rsidP="00623888">
            <w:pPr>
              <w:spacing w:after="0" w:line="240" w:lineRule="auto"/>
              <w:jc w:val="both"/>
              <w:rPr>
                <w:rFonts w:ascii="Arial" w:eastAsia="Times New Roman" w:hAnsi="Arial" w:cs="Arial"/>
                <w:bCs/>
                <w:sz w:val="18"/>
                <w:szCs w:val="18"/>
                <w:lang w:eastAsia="es-CR"/>
              </w:rPr>
            </w:pPr>
            <w:r w:rsidRPr="0035377E">
              <w:rPr>
                <w:rFonts w:ascii="Arial" w:eastAsia="Times New Roman" w:hAnsi="Arial" w:cs="Arial"/>
                <w:bCs/>
                <w:sz w:val="18"/>
                <w:szCs w:val="18"/>
                <w:lang w:eastAsia="es-CR"/>
              </w:rPr>
              <w:t>4.208</w:t>
            </w:r>
          </w:p>
        </w:tc>
        <w:tc>
          <w:tcPr>
            <w:tcW w:w="1773" w:type="dxa"/>
            <w:shd w:val="clear" w:color="auto" w:fill="auto"/>
            <w:vAlign w:val="center"/>
          </w:tcPr>
          <w:p w:rsidR="00623888" w:rsidRPr="0035377E" w:rsidRDefault="00623888" w:rsidP="00623888">
            <w:pPr>
              <w:spacing w:after="0" w:line="240" w:lineRule="auto"/>
              <w:jc w:val="both"/>
              <w:rPr>
                <w:rFonts w:ascii="Arial" w:eastAsia="Times New Roman" w:hAnsi="Arial" w:cs="Arial"/>
                <w:bCs/>
                <w:sz w:val="18"/>
                <w:szCs w:val="18"/>
                <w:lang w:eastAsia="es-CR"/>
              </w:rPr>
            </w:pPr>
            <w:r w:rsidRPr="0035377E">
              <w:rPr>
                <w:rFonts w:ascii="Arial" w:eastAsia="Times New Roman" w:hAnsi="Arial" w:cs="Arial"/>
                <w:bCs/>
                <w:sz w:val="18"/>
                <w:szCs w:val="18"/>
                <w:lang w:eastAsia="es-CR"/>
              </w:rPr>
              <w:t>50.447,5</w:t>
            </w:r>
          </w:p>
        </w:tc>
        <w:tc>
          <w:tcPr>
            <w:tcW w:w="1773" w:type="dxa"/>
            <w:vAlign w:val="bottom"/>
          </w:tcPr>
          <w:p w:rsidR="00623888" w:rsidRPr="0035377E" w:rsidRDefault="00623888" w:rsidP="00623888">
            <w:pPr>
              <w:spacing w:after="0" w:line="240" w:lineRule="auto"/>
              <w:jc w:val="both"/>
              <w:rPr>
                <w:rFonts w:ascii="Arial" w:eastAsia="Times New Roman" w:hAnsi="Arial" w:cs="Arial"/>
                <w:bCs/>
                <w:sz w:val="18"/>
                <w:szCs w:val="18"/>
                <w:lang w:eastAsia="es-CR"/>
              </w:rPr>
            </w:pPr>
            <w:r w:rsidRPr="0035377E">
              <w:rPr>
                <w:rFonts w:ascii="Arial" w:eastAsia="Times New Roman" w:hAnsi="Arial" w:cs="Arial"/>
                <w:bCs/>
                <w:sz w:val="18"/>
                <w:szCs w:val="18"/>
                <w:lang w:eastAsia="es-CR"/>
              </w:rPr>
              <w:t>100%</w:t>
            </w:r>
          </w:p>
        </w:tc>
      </w:tr>
    </w:tbl>
    <w:p w:rsidR="00623888" w:rsidRPr="001E2626" w:rsidRDefault="001E2626" w:rsidP="00623888">
      <w:pPr>
        <w:spacing w:after="0" w:line="240" w:lineRule="auto"/>
        <w:jc w:val="both"/>
        <w:rPr>
          <w:rFonts w:ascii="Arial" w:eastAsia="Times New Roman" w:hAnsi="Arial" w:cs="Arial"/>
          <w:bCs/>
          <w:sz w:val="18"/>
          <w:szCs w:val="18"/>
          <w:lang w:eastAsia="es-CR"/>
        </w:rPr>
      </w:pPr>
      <w:r>
        <w:rPr>
          <w:rFonts w:ascii="Arial" w:eastAsia="Times New Roman" w:hAnsi="Arial" w:cs="Arial"/>
          <w:bCs/>
          <w:sz w:val="20"/>
          <w:szCs w:val="20"/>
          <w:lang w:eastAsia="es-CR"/>
        </w:rPr>
        <w:t xml:space="preserve">  </w:t>
      </w:r>
      <w:r w:rsidR="00623888" w:rsidRPr="001E2626">
        <w:rPr>
          <w:rFonts w:ascii="Arial" w:eastAsia="Times New Roman" w:hAnsi="Arial" w:cs="Arial"/>
          <w:bCs/>
          <w:sz w:val="18"/>
          <w:szCs w:val="18"/>
          <w:lang w:eastAsia="es-CR"/>
        </w:rPr>
        <w:t xml:space="preserve">              Fuente: Informe de rendimiento de cuentas del área. (2017)</w:t>
      </w:r>
    </w:p>
    <w:p w:rsidR="00623888" w:rsidRPr="00623888" w:rsidRDefault="00623888" w:rsidP="00623888">
      <w:pPr>
        <w:spacing w:after="0" w:line="240" w:lineRule="auto"/>
        <w:jc w:val="both"/>
        <w:rPr>
          <w:rFonts w:ascii="Arial" w:eastAsia="Times New Roman" w:hAnsi="Arial" w:cs="Arial"/>
          <w:bCs/>
          <w:sz w:val="20"/>
          <w:szCs w:val="20"/>
          <w:lang w:eastAsia="es-CR"/>
        </w:rPr>
      </w:pPr>
    </w:p>
    <w:p w:rsidR="00623888" w:rsidRPr="00623888" w:rsidRDefault="00623888" w:rsidP="00623888">
      <w:pPr>
        <w:spacing w:after="0" w:line="240" w:lineRule="auto"/>
        <w:jc w:val="both"/>
        <w:rPr>
          <w:rFonts w:ascii="Arial" w:eastAsia="Times New Roman" w:hAnsi="Arial" w:cs="Arial"/>
          <w:bCs/>
          <w:sz w:val="20"/>
          <w:szCs w:val="20"/>
          <w:lang w:eastAsia="es-CR"/>
        </w:rPr>
      </w:pPr>
      <w:r w:rsidRPr="00623888">
        <w:rPr>
          <w:rFonts w:ascii="Arial" w:eastAsia="Times New Roman" w:hAnsi="Arial" w:cs="Arial"/>
          <w:bCs/>
          <w:sz w:val="20"/>
          <w:szCs w:val="20"/>
          <w:lang w:eastAsia="es-CR"/>
        </w:rPr>
        <w:t>Seguidamente se muestra un detalle de lo actuado:</w:t>
      </w:r>
    </w:p>
    <w:tbl>
      <w:tblPr>
        <w:tblW w:w="9103" w:type="dxa"/>
        <w:tblBorders>
          <w:insideH w:val="single" w:sz="6" w:space="0" w:color="000000"/>
          <w:insideV w:val="single" w:sz="6" w:space="0" w:color="000000"/>
        </w:tblBorders>
        <w:tblLook w:val="04A0" w:firstRow="1" w:lastRow="0" w:firstColumn="1" w:lastColumn="0" w:noHBand="0" w:noVBand="1"/>
      </w:tblPr>
      <w:tblGrid>
        <w:gridCol w:w="3857"/>
        <w:gridCol w:w="5246"/>
      </w:tblGrid>
      <w:tr w:rsidR="00623888" w:rsidRPr="0035377E" w:rsidTr="00BC1A0F">
        <w:trPr>
          <w:trHeight w:val="270"/>
        </w:trPr>
        <w:tc>
          <w:tcPr>
            <w:tcW w:w="5000" w:type="pct"/>
            <w:gridSpan w:val="2"/>
            <w:shd w:val="clear" w:color="auto" w:fill="auto"/>
            <w:noWrap/>
            <w:hideMark/>
          </w:tcPr>
          <w:p w:rsidR="00623888" w:rsidRPr="0035377E" w:rsidRDefault="00623888" w:rsidP="00623888">
            <w:pPr>
              <w:spacing w:after="0" w:line="240" w:lineRule="auto"/>
              <w:jc w:val="both"/>
              <w:rPr>
                <w:rFonts w:ascii="Arial" w:eastAsia="Times New Roman" w:hAnsi="Arial" w:cs="Arial"/>
                <w:bCs/>
                <w:sz w:val="18"/>
                <w:szCs w:val="18"/>
                <w:lang w:eastAsia="es-CR"/>
              </w:rPr>
            </w:pPr>
          </w:p>
          <w:p w:rsidR="00623888" w:rsidRPr="0035377E" w:rsidRDefault="00623888" w:rsidP="00744CE6">
            <w:pPr>
              <w:spacing w:after="0" w:line="240" w:lineRule="auto"/>
              <w:jc w:val="center"/>
              <w:rPr>
                <w:rFonts w:ascii="Arial" w:eastAsia="Times New Roman" w:hAnsi="Arial" w:cs="Arial"/>
                <w:b/>
                <w:bCs/>
                <w:sz w:val="18"/>
                <w:szCs w:val="18"/>
                <w:lang w:eastAsia="es-CR"/>
              </w:rPr>
            </w:pPr>
            <w:r w:rsidRPr="0035377E">
              <w:rPr>
                <w:rFonts w:ascii="Arial" w:eastAsia="Times New Roman" w:hAnsi="Arial" w:cs="Arial"/>
                <w:b/>
                <w:bCs/>
                <w:sz w:val="18"/>
                <w:szCs w:val="18"/>
                <w:lang w:eastAsia="es-CR"/>
              </w:rPr>
              <w:t>Tabla 3</w:t>
            </w:r>
            <w:r w:rsidR="00744CE6">
              <w:rPr>
                <w:rFonts w:ascii="Arial" w:eastAsia="Times New Roman" w:hAnsi="Arial" w:cs="Arial"/>
                <w:b/>
                <w:bCs/>
                <w:sz w:val="18"/>
                <w:szCs w:val="18"/>
                <w:lang w:eastAsia="es-CR"/>
              </w:rPr>
              <w:t>9</w:t>
            </w:r>
            <w:r w:rsidRPr="0035377E">
              <w:rPr>
                <w:rFonts w:ascii="Arial" w:eastAsia="Times New Roman" w:hAnsi="Arial" w:cs="Arial"/>
                <w:b/>
                <w:bCs/>
                <w:sz w:val="18"/>
                <w:szCs w:val="18"/>
                <w:lang w:eastAsia="es-CR"/>
              </w:rPr>
              <w:t xml:space="preserve"> Algunas Acciones Realizadas</w:t>
            </w:r>
          </w:p>
        </w:tc>
      </w:tr>
      <w:tr w:rsidR="00623888" w:rsidRPr="0035377E" w:rsidTr="00BC1A0F">
        <w:trPr>
          <w:trHeight w:val="3053"/>
        </w:trPr>
        <w:tc>
          <w:tcPr>
            <w:tcW w:w="2259" w:type="pct"/>
            <w:shd w:val="clear" w:color="auto" w:fill="auto"/>
            <w:hideMark/>
          </w:tcPr>
          <w:p w:rsidR="00623888" w:rsidRPr="0035377E" w:rsidRDefault="00623888" w:rsidP="00623888">
            <w:pPr>
              <w:spacing w:after="0" w:line="240" w:lineRule="auto"/>
              <w:jc w:val="both"/>
              <w:rPr>
                <w:rFonts w:ascii="Arial" w:eastAsia="Times New Roman" w:hAnsi="Arial" w:cs="Arial"/>
                <w:bCs/>
                <w:sz w:val="18"/>
                <w:szCs w:val="18"/>
                <w:lang w:eastAsia="es-CR"/>
              </w:rPr>
            </w:pPr>
            <w:r w:rsidRPr="0035377E">
              <w:rPr>
                <w:rFonts w:ascii="Arial" w:eastAsia="Times New Roman" w:hAnsi="Arial" w:cs="Arial"/>
                <w:bCs/>
                <w:sz w:val="18"/>
                <w:szCs w:val="18"/>
                <w:lang w:eastAsia="es-CR"/>
              </w:rPr>
              <w:t>a) Actividades realizadas:</w:t>
            </w:r>
          </w:p>
        </w:tc>
        <w:tc>
          <w:tcPr>
            <w:tcW w:w="2741" w:type="pct"/>
            <w:shd w:val="clear" w:color="auto" w:fill="auto"/>
          </w:tcPr>
          <w:p w:rsidR="00623888" w:rsidRPr="0035377E" w:rsidRDefault="00623888" w:rsidP="00623888">
            <w:pPr>
              <w:spacing w:after="0" w:line="240" w:lineRule="auto"/>
              <w:jc w:val="both"/>
              <w:rPr>
                <w:rFonts w:ascii="Arial" w:eastAsia="Times New Roman" w:hAnsi="Arial" w:cs="Arial"/>
                <w:bCs/>
                <w:sz w:val="18"/>
                <w:szCs w:val="18"/>
                <w:lang w:eastAsia="es-CR"/>
              </w:rPr>
            </w:pPr>
            <w:r w:rsidRPr="0035377E">
              <w:rPr>
                <w:rFonts w:ascii="Arial" w:eastAsia="Times New Roman" w:hAnsi="Arial" w:cs="Arial"/>
                <w:bCs/>
                <w:sz w:val="18"/>
                <w:szCs w:val="18"/>
                <w:lang w:eastAsia="es-CR"/>
              </w:rPr>
              <w:t>- Venta de contratos por parte de los comisionistas.</w:t>
            </w:r>
          </w:p>
          <w:p w:rsidR="00623888" w:rsidRPr="0035377E" w:rsidRDefault="00623888" w:rsidP="00623888">
            <w:pPr>
              <w:spacing w:after="0" w:line="240" w:lineRule="auto"/>
              <w:jc w:val="both"/>
              <w:rPr>
                <w:rFonts w:ascii="Arial" w:eastAsia="Times New Roman" w:hAnsi="Arial" w:cs="Arial"/>
                <w:bCs/>
                <w:sz w:val="18"/>
                <w:szCs w:val="18"/>
                <w:lang w:eastAsia="es-CR"/>
              </w:rPr>
            </w:pPr>
            <w:r w:rsidRPr="0035377E">
              <w:rPr>
                <w:rFonts w:ascii="Arial" w:eastAsia="Times New Roman" w:hAnsi="Arial" w:cs="Arial"/>
                <w:bCs/>
                <w:sz w:val="18"/>
                <w:szCs w:val="18"/>
                <w:lang w:eastAsia="es-CR"/>
              </w:rPr>
              <w:t>- Venta de contratos por parte de la Unidad de Canales de Servicios del INVU.</w:t>
            </w:r>
          </w:p>
          <w:p w:rsidR="00623888" w:rsidRPr="0035377E" w:rsidRDefault="00623888" w:rsidP="00623888">
            <w:pPr>
              <w:spacing w:after="0" w:line="240" w:lineRule="auto"/>
              <w:jc w:val="both"/>
              <w:rPr>
                <w:rFonts w:ascii="Arial" w:eastAsia="Times New Roman" w:hAnsi="Arial" w:cs="Arial"/>
                <w:bCs/>
                <w:sz w:val="18"/>
                <w:szCs w:val="18"/>
                <w:lang w:eastAsia="es-CR"/>
              </w:rPr>
            </w:pPr>
            <w:r w:rsidRPr="0035377E">
              <w:rPr>
                <w:rFonts w:ascii="Arial" w:eastAsia="Times New Roman" w:hAnsi="Arial" w:cs="Arial"/>
                <w:bCs/>
                <w:sz w:val="18"/>
                <w:szCs w:val="18"/>
                <w:lang w:eastAsia="es-CR"/>
              </w:rPr>
              <w:t>Seguidamente se muestra el detalle de las ventas por mes, en colones:</w:t>
            </w:r>
          </w:p>
          <w:tbl>
            <w:tblPr>
              <w:tblW w:w="5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1468"/>
              <w:gridCol w:w="1087"/>
              <w:gridCol w:w="1568"/>
            </w:tblGrid>
            <w:tr w:rsidR="00623888" w:rsidRPr="0035377E" w:rsidTr="00BC1A0F">
              <w:trPr>
                <w:trHeight w:val="261"/>
              </w:trPr>
              <w:tc>
                <w:tcPr>
                  <w:tcW w:w="897" w:type="dxa"/>
                  <w:shd w:val="clear" w:color="auto" w:fill="auto"/>
                </w:tcPr>
                <w:p w:rsidR="00623888" w:rsidRPr="0035377E" w:rsidRDefault="00623888" w:rsidP="00623888">
                  <w:pPr>
                    <w:spacing w:after="0" w:line="240" w:lineRule="auto"/>
                    <w:jc w:val="both"/>
                    <w:rPr>
                      <w:rFonts w:ascii="Arial" w:eastAsia="Times New Roman" w:hAnsi="Arial" w:cs="Arial"/>
                      <w:bCs/>
                      <w:sz w:val="18"/>
                      <w:szCs w:val="18"/>
                      <w:lang w:eastAsia="es-CR"/>
                    </w:rPr>
                  </w:pPr>
                  <w:r w:rsidRPr="0035377E">
                    <w:rPr>
                      <w:rFonts w:ascii="Arial" w:eastAsia="Times New Roman" w:hAnsi="Arial" w:cs="Arial"/>
                      <w:bCs/>
                      <w:sz w:val="18"/>
                      <w:szCs w:val="18"/>
                      <w:lang w:eastAsia="es-CR"/>
                    </w:rPr>
                    <w:t xml:space="preserve">Enero: </w:t>
                  </w:r>
                </w:p>
              </w:tc>
              <w:tc>
                <w:tcPr>
                  <w:tcW w:w="1468" w:type="dxa"/>
                  <w:shd w:val="clear" w:color="auto" w:fill="auto"/>
                </w:tcPr>
                <w:p w:rsidR="00623888" w:rsidRPr="0035377E" w:rsidRDefault="00623888" w:rsidP="00623888">
                  <w:pPr>
                    <w:spacing w:after="0" w:line="240" w:lineRule="auto"/>
                    <w:jc w:val="both"/>
                    <w:rPr>
                      <w:rFonts w:ascii="Arial" w:eastAsia="Times New Roman" w:hAnsi="Arial" w:cs="Arial"/>
                      <w:bCs/>
                      <w:sz w:val="18"/>
                      <w:szCs w:val="18"/>
                      <w:lang w:eastAsia="es-CR"/>
                    </w:rPr>
                  </w:pPr>
                  <w:r w:rsidRPr="0035377E">
                    <w:rPr>
                      <w:rFonts w:ascii="Arial" w:eastAsia="Times New Roman" w:hAnsi="Arial" w:cs="Arial"/>
                      <w:bCs/>
                      <w:sz w:val="18"/>
                      <w:szCs w:val="18"/>
                      <w:lang w:eastAsia="es-CR"/>
                    </w:rPr>
                    <w:t>¢5.384.500.000</w:t>
                  </w:r>
                </w:p>
              </w:tc>
              <w:tc>
                <w:tcPr>
                  <w:tcW w:w="1087" w:type="dxa"/>
                </w:tcPr>
                <w:p w:rsidR="00623888" w:rsidRPr="0035377E" w:rsidRDefault="00623888" w:rsidP="00623888">
                  <w:pPr>
                    <w:spacing w:after="0" w:line="240" w:lineRule="auto"/>
                    <w:jc w:val="both"/>
                    <w:rPr>
                      <w:rFonts w:ascii="Arial" w:eastAsia="Times New Roman" w:hAnsi="Arial" w:cs="Arial"/>
                      <w:bCs/>
                      <w:sz w:val="18"/>
                      <w:szCs w:val="18"/>
                      <w:lang w:eastAsia="es-CR"/>
                    </w:rPr>
                  </w:pPr>
                  <w:r w:rsidRPr="0035377E">
                    <w:rPr>
                      <w:rFonts w:ascii="Arial" w:eastAsia="Times New Roman" w:hAnsi="Arial" w:cs="Arial"/>
                      <w:bCs/>
                      <w:sz w:val="18"/>
                      <w:szCs w:val="18"/>
                      <w:lang w:eastAsia="es-CR"/>
                    </w:rPr>
                    <w:t>Julio:</w:t>
                  </w:r>
                </w:p>
              </w:tc>
              <w:tc>
                <w:tcPr>
                  <w:tcW w:w="1568" w:type="dxa"/>
                </w:tcPr>
                <w:p w:rsidR="00623888" w:rsidRPr="0035377E" w:rsidRDefault="00623888" w:rsidP="00623888">
                  <w:pPr>
                    <w:spacing w:after="0" w:line="240" w:lineRule="auto"/>
                    <w:jc w:val="both"/>
                    <w:rPr>
                      <w:rFonts w:ascii="Arial" w:eastAsia="Times New Roman" w:hAnsi="Arial" w:cs="Arial"/>
                      <w:bCs/>
                      <w:sz w:val="18"/>
                      <w:szCs w:val="18"/>
                      <w:lang w:eastAsia="es-CR"/>
                    </w:rPr>
                  </w:pPr>
                  <w:r w:rsidRPr="0035377E">
                    <w:rPr>
                      <w:rFonts w:ascii="Arial" w:eastAsia="Times New Roman" w:hAnsi="Arial" w:cs="Arial"/>
                      <w:bCs/>
                      <w:sz w:val="18"/>
                      <w:szCs w:val="18"/>
                      <w:lang w:eastAsia="es-CR"/>
                    </w:rPr>
                    <w:t>¢3.316.500.000</w:t>
                  </w:r>
                </w:p>
              </w:tc>
            </w:tr>
            <w:tr w:rsidR="00623888" w:rsidRPr="0035377E" w:rsidTr="00BC1A0F">
              <w:trPr>
                <w:trHeight w:val="261"/>
              </w:trPr>
              <w:tc>
                <w:tcPr>
                  <w:tcW w:w="897" w:type="dxa"/>
                  <w:shd w:val="clear" w:color="auto" w:fill="auto"/>
                </w:tcPr>
                <w:p w:rsidR="00623888" w:rsidRPr="0035377E" w:rsidRDefault="00623888" w:rsidP="00623888">
                  <w:pPr>
                    <w:spacing w:after="0" w:line="240" w:lineRule="auto"/>
                    <w:jc w:val="both"/>
                    <w:rPr>
                      <w:rFonts w:ascii="Arial" w:eastAsia="Times New Roman" w:hAnsi="Arial" w:cs="Arial"/>
                      <w:bCs/>
                      <w:sz w:val="18"/>
                      <w:szCs w:val="18"/>
                      <w:lang w:eastAsia="es-CR"/>
                    </w:rPr>
                  </w:pPr>
                  <w:r w:rsidRPr="0035377E">
                    <w:rPr>
                      <w:rFonts w:ascii="Arial" w:eastAsia="Times New Roman" w:hAnsi="Arial" w:cs="Arial"/>
                      <w:bCs/>
                      <w:sz w:val="18"/>
                      <w:szCs w:val="18"/>
                      <w:lang w:eastAsia="es-CR"/>
                    </w:rPr>
                    <w:t xml:space="preserve">Febrero: </w:t>
                  </w:r>
                </w:p>
              </w:tc>
              <w:tc>
                <w:tcPr>
                  <w:tcW w:w="1468" w:type="dxa"/>
                  <w:shd w:val="clear" w:color="auto" w:fill="auto"/>
                </w:tcPr>
                <w:p w:rsidR="00623888" w:rsidRPr="0035377E" w:rsidRDefault="00623888" w:rsidP="00623888">
                  <w:pPr>
                    <w:spacing w:after="0" w:line="240" w:lineRule="auto"/>
                    <w:jc w:val="both"/>
                    <w:rPr>
                      <w:rFonts w:ascii="Arial" w:eastAsia="Times New Roman" w:hAnsi="Arial" w:cs="Arial"/>
                      <w:bCs/>
                      <w:sz w:val="18"/>
                      <w:szCs w:val="18"/>
                      <w:lang w:eastAsia="es-CR"/>
                    </w:rPr>
                  </w:pPr>
                  <w:r w:rsidRPr="0035377E">
                    <w:rPr>
                      <w:rFonts w:ascii="Arial" w:eastAsia="Times New Roman" w:hAnsi="Arial" w:cs="Arial"/>
                      <w:bCs/>
                      <w:sz w:val="18"/>
                      <w:szCs w:val="18"/>
                      <w:lang w:eastAsia="es-CR"/>
                    </w:rPr>
                    <w:t>¢4.427.000.000</w:t>
                  </w:r>
                </w:p>
              </w:tc>
              <w:tc>
                <w:tcPr>
                  <w:tcW w:w="1087" w:type="dxa"/>
                </w:tcPr>
                <w:p w:rsidR="00623888" w:rsidRPr="0035377E" w:rsidRDefault="00623888" w:rsidP="00623888">
                  <w:pPr>
                    <w:spacing w:after="0" w:line="240" w:lineRule="auto"/>
                    <w:jc w:val="both"/>
                    <w:rPr>
                      <w:rFonts w:ascii="Arial" w:eastAsia="Times New Roman" w:hAnsi="Arial" w:cs="Arial"/>
                      <w:bCs/>
                      <w:sz w:val="18"/>
                      <w:szCs w:val="18"/>
                      <w:lang w:eastAsia="es-CR"/>
                    </w:rPr>
                  </w:pPr>
                  <w:r w:rsidRPr="0035377E">
                    <w:rPr>
                      <w:rFonts w:ascii="Arial" w:eastAsia="Times New Roman" w:hAnsi="Arial" w:cs="Arial"/>
                      <w:bCs/>
                      <w:sz w:val="18"/>
                      <w:szCs w:val="18"/>
                      <w:lang w:eastAsia="es-CR"/>
                    </w:rPr>
                    <w:t>Agosto:</w:t>
                  </w:r>
                </w:p>
              </w:tc>
              <w:tc>
                <w:tcPr>
                  <w:tcW w:w="1568" w:type="dxa"/>
                </w:tcPr>
                <w:p w:rsidR="00623888" w:rsidRPr="0035377E" w:rsidRDefault="00623888" w:rsidP="00623888">
                  <w:pPr>
                    <w:spacing w:after="0" w:line="240" w:lineRule="auto"/>
                    <w:jc w:val="both"/>
                    <w:rPr>
                      <w:rFonts w:ascii="Arial" w:eastAsia="Times New Roman" w:hAnsi="Arial" w:cs="Arial"/>
                      <w:bCs/>
                      <w:sz w:val="18"/>
                      <w:szCs w:val="18"/>
                      <w:lang w:eastAsia="es-CR"/>
                    </w:rPr>
                  </w:pPr>
                  <w:r w:rsidRPr="0035377E">
                    <w:rPr>
                      <w:rFonts w:ascii="Arial" w:eastAsia="Times New Roman" w:hAnsi="Arial" w:cs="Arial"/>
                      <w:bCs/>
                      <w:sz w:val="18"/>
                      <w:szCs w:val="18"/>
                      <w:lang w:eastAsia="es-CR"/>
                    </w:rPr>
                    <w:t>¢4.850.000.000</w:t>
                  </w:r>
                </w:p>
              </w:tc>
            </w:tr>
            <w:tr w:rsidR="00623888" w:rsidRPr="0035377E" w:rsidTr="00BC1A0F">
              <w:trPr>
                <w:trHeight w:val="261"/>
              </w:trPr>
              <w:tc>
                <w:tcPr>
                  <w:tcW w:w="897" w:type="dxa"/>
                  <w:shd w:val="clear" w:color="auto" w:fill="auto"/>
                </w:tcPr>
                <w:p w:rsidR="00623888" w:rsidRPr="0035377E" w:rsidRDefault="00623888" w:rsidP="00623888">
                  <w:pPr>
                    <w:spacing w:after="0" w:line="240" w:lineRule="auto"/>
                    <w:jc w:val="both"/>
                    <w:rPr>
                      <w:rFonts w:ascii="Arial" w:eastAsia="Times New Roman" w:hAnsi="Arial" w:cs="Arial"/>
                      <w:bCs/>
                      <w:sz w:val="18"/>
                      <w:szCs w:val="18"/>
                      <w:lang w:eastAsia="es-CR"/>
                    </w:rPr>
                  </w:pPr>
                  <w:r w:rsidRPr="0035377E">
                    <w:rPr>
                      <w:rFonts w:ascii="Arial" w:eastAsia="Times New Roman" w:hAnsi="Arial" w:cs="Arial"/>
                      <w:bCs/>
                      <w:sz w:val="18"/>
                      <w:szCs w:val="18"/>
                      <w:lang w:eastAsia="es-CR"/>
                    </w:rPr>
                    <w:t>Marzo:</w:t>
                  </w:r>
                </w:p>
              </w:tc>
              <w:tc>
                <w:tcPr>
                  <w:tcW w:w="1468" w:type="dxa"/>
                  <w:shd w:val="clear" w:color="auto" w:fill="auto"/>
                </w:tcPr>
                <w:p w:rsidR="00623888" w:rsidRPr="0035377E" w:rsidRDefault="00623888" w:rsidP="00623888">
                  <w:pPr>
                    <w:spacing w:after="0" w:line="240" w:lineRule="auto"/>
                    <w:jc w:val="both"/>
                    <w:rPr>
                      <w:rFonts w:ascii="Arial" w:eastAsia="Times New Roman" w:hAnsi="Arial" w:cs="Arial"/>
                      <w:bCs/>
                      <w:sz w:val="18"/>
                      <w:szCs w:val="18"/>
                      <w:lang w:eastAsia="es-CR"/>
                    </w:rPr>
                  </w:pPr>
                  <w:r w:rsidRPr="0035377E">
                    <w:rPr>
                      <w:rFonts w:ascii="Arial" w:eastAsia="Times New Roman" w:hAnsi="Arial" w:cs="Arial"/>
                      <w:bCs/>
                      <w:sz w:val="18"/>
                      <w:szCs w:val="18"/>
                      <w:lang w:eastAsia="es-CR"/>
                    </w:rPr>
                    <w:t>¢3.958.000.000</w:t>
                  </w:r>
                </w:p>
              </w:tc>
              <w:tc>
                <w:tcPr>
                  <w:tcW w:w="1087" w:type="dxa"/>
                </w:tcPr>
                <w:p w:rsidR="00623888" w:rsidRPr="0035377E" w:rsidRDefault="00623888" w:rsidP="00623888">
                  <w:pPr>
                    <w:spacing w:after="0" w:line="240" w:lineRule="auto"/>
                    <w:jc w:val="both"/>
                    <w:rPr>
                      <w:rFonts w:ascii="Arial" w:eastAsia="Times New Roman" w:hAnsi="Arial" w:cs="Arial"/>
                      <w:bCs/>
                      <w:sz w:val="18"/>
                      <w:szCs w:val="18"/>
                      <w:lang w:eastAsia="es-CR"/>
                    </w:rPr>
                  </w:pPr>
                  <w:r w:rsidRPr="0035377E">
                    <w:rPr>
                      <w:rFonts w:ascii="Arial" w:eastAsia="Times New Roman" w:hAnsi="Arial" w:cs="Arial"/>
                      <w:bCs/>
                      <w:sz w:val="18"/>
                      <w:szCs w:val="18"/>
                      <w:lang w:eastAsia="es-CR"/>
                    </w:rPr>
                    <w:t>Setiembre:</w:t>
                  </w:r>
                </w:p>
              </w:tc>
              <w:tc>
                <w:tcPr>
                  <w:tcW w:w="1568" w:type="dxa"/>
                </w:tcPr>
                <w:p w:rsidR="00623888" w:rsidRPr="0035377E" w:rsidRDefault="00623888" w:rsidP="00623888">
                  <w:pPr>
                    <w:spacing w:after="0" w:line="240" w:lineRule="auto"/>
                    <w:jc w:val="both"/>
                    <w:rPr>
                      <w:rFonts w:ascii="Arial" w:eastAsia="Times New Roman" w:hAnsi="Arial" w:cs="Arial"/>
                      <w:bCs/>
                      <w:sz w:val="18"/>
                      <w:szCs w:val="18"/>
                      <w:lang w:eastAsia="es-CR"/>
                    </w:rPr>
                  </w:pPr>
                  <w:r w:rsidRPr="0035377E">
                    <w:rPr>
                      <w:rFonts w:ascii="Arial" w:eastAsia="Times New Roman" w:hAnsi="Arial" w:cs="Arial"/>
                      <w:bCs/>
                      <w:sz w:val="18"/>
                      <w:szCs w:val="18"/>
                      <w:lang w:eastAsia="es-CR"/>
                    </w:rPr>
                    <w:t>¢6.317.000.000</w:t>
                  </w:r>
                </w:p>
              </w:tc>
            </w:tr>
            <w:tr w:rsidR="00623888" w:rsidRPr="0035377E" w:rsidTr="00BC1A0F">
              <w:trPr>
                <w:trHeight w:val="261"/>
              </w:trPr>
              <w:tc>
                <w:tcPr>
                  <w:tcW w:w="897" w:type="dxa"/>
                  <w:shd w:val="clear" w:color="auto" w:fill="auto"/>
                </w:tcPr>
                <w:p w:rsidR="00623888" w:rsidRPr="0035377E" w:rsidRDefault="00623888" w:rsidP="00623888">
                  <w:pPr>
                    <w:spacing w:after="0" w:line="240" w:lineRule="auto"/>
                    <w:jc w:val="both"/>
                    <w:rPr>
                      <w:rFonts w:ascii="Arial" w:eastAsia="Times New Roman" w:hAnsi="Arial" w:cs="Arial"/>
                      <w:bCs/>
                      <w:sz w:val="18"/>
                      <w:szCs w:val="18"/>
                      <w:lang w:eastAsia="es-CR"/>
                    </w:rPr>
                  </w:pPr>
                  <w:r w:rsidRPr="0035377E">
                    <w:rPr>
                      <w:rFonts w:ascii="Arial" w:eastAsia="Times New Roman" w:hAnsi="Arial" w:cs="Arial"/>
                      <w:bCs/>
                      <w:sz w:val="18"/>
                      <w:szCs w:val="18"/>
                      <w:lang w:eastAsia="es-CR"/>
                    </w:rPr>
                    <w:t>Abril:</w:t>
                  </w:r>
                </w:p>
              </w:tc>
              <w:tc>
                <w:tcPr>
                  <w:tcW w:w="1468" w:type="dxa"/>
                  <w:shd w:val="clear" w:color="auto" w:fill="auto"/>
                </w:tcPr>
                <w:p w:rsidR="00623888" w:rsidRPr="0035377E" w:rsidRDefault="00623888" w:rsidP="00623888">
                  <w:pPr>
                    <w:spacing w:after="0" w:line="240" w:lineRule="auto"/>
                    <w:jc w:val="both"/>
                    <w:rPr>
                      <w:rFonts w:ascii="Arial" w:eastAsia="Times New Roman" w:hAnsi="Arial" w:cs="Arial"/>
                      <w:bCs/>
                      <w:sz w:val="18"/>
                      <w:szCs w:val="18"/>
                      <w:lang w:eastAsia="es-CR"/>
                    </w:rPr>
                  </w:pPr>
                  <w:r w:rsidRPr="0035377E">
                    <w:rPr>
                      <w:rFonts w:ascii="Arial" w:eastAsia="Times New Roman" w:hAnsi="Arial" w:cs="Arial"/>
                      <w:bCs/>
                      <w:sz w:val="18"/>
                      <w:szCs w:val="18"/>
                      <w:lang w:eastAsia="es-CR"/>
                    </w:rPr>
                    <w:t>¢2.167.000.000</w:t>
                  </w:r>
                </w:p>
              </w:tc>
              <w:tc>
                <w:tcPr>
                  <w:tcW w:w="1087" w:type="dxa"/>
                </w:tcPr>
                <w:p w:rsidR="00623888" w:rsidRPr="0035377E" w:rsidRDefault="00623888" w:rsidP="00623888">
                  <w:pPr>
                    <w:spacing w:after="0" w:line="240" w:lineRule="auto"/>
                    <w:jc w:val="both"/>
                    <w:rPr>
                      <w:rFonts w:ascii="Arial" w:eastAsia="Times New Roman" w:hAnsi="Arial" w:cs="Arial"/>
                      <w:bCs/>
                      <w:sz w:val="18"/>
                      <w:szCs w:val="18"/>
                      <w:lang w:eastAsia="es-CR"/>
                    </w:rPr>
                  </w:pPr>
                  <w:r w:rsidRPr="0035377E">
                    <w:rPr>
                      <w:rFonts w:ascii="Arial" w:eastAsia="Times New Roman" w:hAnsi="Arial" w:cs="Arial"/>
                      <w:bCs/>
                      <w:sz w:val="18"/>
                      <w:szCs w:val="18"/>
                      <w:lang w:eastAsia="es-CR"/>
                    </w:rPr>
                    <w:t>Octubre</w:t>
                  </w:r>
                </w:p>
              </w:tc>
              <w:tc>
                <w:tcPr>
                  <w:tcW w:w="1568" w:type="dxa"/>
                </w:tcPr>
                <w:p w:rsidR="00623888" w:rsidRPr="0035377E" w:rsidRDefault="00623888" w:rsidP="00623888">
                  <w:pPr>
                    <w:spacing w:after="0" w:line="240" w:lineRule="auto"/>
                    <w:jc w:val="both"/>
                    <w:rPr>
                      <w:rFonts w:ascii="Arial" w:eastAsia="Times New Roman" w:hAnsi="Arial" w:cs="Arial"/>
                      <w:bCs/>
                      <w:sz w:val="18"/>
                      <w:szCs w:val="18"/>
                      <w:lang w:eastAsia="es-CR"/>
                    </w:rPr>
                  </w:pPr>
                  <w:r w:rsidRPr="0035377E">
                    <w:rPr>
                      <w:rFonts w:ascii="Arial" w:eastAsia="Times New Roman" w:hAnsi="Arial" w:cs="Arial"/>
                      <w:bCs/>
                      <w:sz w:val="18"/>
                      <w:szCs w:val="18"/>
                      <w:lang w:eastAsia="es-CR"/>
                    </w:rPr>
                    <w:t>¢4.784.000.000</w:t>
                  </w:r>
                </w:p>
              </w:tc>
            </w:tr>
            <w:tr w:rsidR="00623888" w:rsidRPr="0035377E" w:rsidTr="00BC1A0F">
              <w:trPr>
                <w:trHeight w:val="261"/>
              </w:trPr>
              <w:tc>
                <w:tcPr>
                  <w:tcW w:w="897" w:type="dxa"/>
                  <w:tcBorders>
                    <w:bottom w:val="single" w:sz="4" w:space="0" w:color="auto"/>
                  </w:tcBorders>
                  <w:shd w:val="clear" w:color="auto" w:fill="auto"/>
                </w:tcPr>
                <w:p w:rsidR="00623888" w:rsidRPr="0035377E" w:rsidRDefault="00623888" w:rsidP="00623888">
                  <w:pPr>
                    <w:spacing w:after="0" w:line="240" w:lineRule="auto"/>
                    <w:jc w:val="both"/>
                    <w:rPr>
                      <w:rFonts w:ascii="Arial" w:eastAsia="Times New Roman" w:hAnsi="Arial" w:cs="Arial"/>
                      <w:bCs/>
                      <w:sz w:val="18"/>
                      <w:szCs w:val="18"/>
                      <w:lang w:eastAsia="es-CR"/>
                    </w:rPr>
                  </w:pPr>
                  <w:r w:rsidRPr="0035377E">
                    <w:rPr>
                      <w:rFonts w:ascii="Arial" w:eastAsia="Times New Roman" w:hAnsi="Arial" w:cs="Arial"/>
                      <w:bCs/>
                      <w:sz w:val="18"/>
                      <w:szCs w:val="18"/>
                      <w:lang w:eastAsia="es-CR"/>
                    </w:rPr>
                    <w:t>Mayo:</w:t>
                  </w:r>
                </w:p>
              </w:tc>
              <w:tc>
                <w:tcPr>
                  <w:tcW w:w="1468" w:type="dxa"/>
                  <w:tcBorders>
                    <w:bottom w:val="single" w:sz="4" w:space="0" w:color="auto"/>
                  </w:tcBorders>
                  <w:shd w:val="clear" w:color="auto" w:fill="auto"/>
                </w:tcPr>
                <w:p w:rsidR="00623888" w:rsidRPr="0035377E" w:rsidRDefault="00623888" w:rsidP="00623888">
                  <w:pPr>
                    <w:spacing w:after="0" w:line="240" w:lineRule="auto"/>
                    <w:jc w:val="both"/>
                    <w:rPr>
                      <w:rFonts w:ascii="Arial" w:eastAsia="Times New Roman" w:hAnsi="Arial" w:cs="Arial"/>
                      <w:bCs/>
                      <w:sz w:val="18"/>
                      <w:szCs w:val="18"/>
                      <w:lang w:eastAsia="es-CR"/>
                    </w:rPr>
                  </w:pPr>
                  <w:r w:rsidRPr="0035377E">
                    <w:rPr>
                      <w:rFonts w:ascii="Arial" w:eastAsia="Times New Roman" w:hAnsi="Arial" w:cs="Arial"/>
                      <w:bCs/>
                      <w:sz w:val="18"/>
                      <w:szCs w:val="18"/>
                      <w:lang w:eastAsia="es-CR"/>
                    </w:rPr>
                    <w:t>¢3.874.500.000</w:t>
                  </w:r>
                </w:p>
              </w:tc>
              <w:tc>
                <w:tcPr>
                  <w:tcW w:w="1087" w:type="dxa"/>
                  <w:tcBorders>
                    <w:bottom w:val="single" w:sz="4" w:space="0" w:color="auto"/>
                  </w:tcBorders>
                </w:tcPr>
                <w:p w:rsidR="00623888" w:rsidRPr="0035377E" w:rsidRDefault="00623888" w:rsidP="00623888">
                  <w:pPr>
                    <w:spacing w:after="0" w:line="240" w:lineRule="auto"/>
                    <w:jc w:val="both"/>
                    <w:rPr>
                      <w:rFonts w:ascii="Arial" w:eastAsia="Times New Roman" w:hAnsi="Arial" w:cs="Arial"/>
                      <w:bCs/>
                      <w:sz w:val="18"/>
                      <w:szCs w:val="18"/>
                      <w:lang w:eastAsia="es-CR"/>
                    </w:rPr>
                  </w:pPr>
                  <w:r w:rsidRPr="0035377E">
                    <w:rPr>
                      <w:rFonts w:ascii="Arial" w:eastAsia="Times New Roman" w:hAnsi="Arial" w:cs="Arial"/>
                      <w:bCs/>
                      <w:sz w:val="18"/>
                      <w:szCs w:val="18"/>
                      <w:lang w:eastAsia="es-CR"/>
                    </w:rPr>
                    <w:t>Noviembre</w:t>
                  </w:r>
                </w:p>
              </w:tc>
              <w:tc>
                <w:tcPr>
                  <w:tcW w:w="1568" w:type="dxa"/>
                  <w:tcBorders>
                    <w:bottom w:val="single" w:sz="4" w:space="0" w:color="auto"/>
                  </w:tcBorders>
                </w:tcPr>
                <w:p w:rsidR="00623888" w:rsidRPr="0035377E" w:rsidRDefault="00623888" w:rsidP="00623888">
                  <w:pPr>
                    <w:spacing w:after="0" w:line="240" w:lineRule="auto"/>
                    <w:jc w:val="both"/>
                    <w:rPr>
                      <w:rFonts w:ascii="Arial" w:eastAsia="Times New Roman" w:hAnsi="Arial" w:cs="Arial"/>
                      <w:bCs/>
                      <w:sz w:val="18"/>
                      <w:szCs w:val="18"/>
                      <w:lang w:eastAsia="es-CR"/>
                    </w:rPr>
                  </w:pPr>
                  <w:r w:rsidRPr="0035377E">
                    <w:rPr>
                      <w:rFonts w:ascii="Arial" w:eastAsia="Times New Roman" w:hAnsi="Arial" w:cs="Arial"/>
                      <w:bCs/>
                      <w:sz w:val="18"/>
                      <w:szCs w:val="18"/>
                      <w:lang w:eastAsia="es-CR"/>
                    </w:rPr>
                    <w:t>¢1.346.000.000</w:t>
                  </w:r>
                </w:p>
              </w:tc>
            </w:tr>
            <w:tr w:rsidR="00623888" w:rsidRPr="0035377E" w:rsidTr="00BC1A0F">
              <w:trPr>
                <w:trHeight w:val="261"/>
              </w:trPr>
              <w:tc>
                <w:tcPr>
                  <w:tcW w:w="897" w:type="dxa"/>
                  <w:shd w:val="clear" w:color="auto" w:fill="auto"/>
                </w:tcPr>
                <w:p w:rsidR="00623888" w:rsidRPr="0035377E" w:rsidRDefault="00623888" w:rsidP="00623888">
                  <w:pPr>
                    <w:spacing w:after="0" w:line="240" w:lineRule="auto"/>
                    <w:jc w:val="both"/>
                    <w:rPr>
                      <w:rFonts w:ascii="Arial" w:eastAsia="Times New Roman" w:hAnsi="Arial" w:cs="Arial"/>
                      <w:bCs/>
                      <w:sz w:val="18"/>
                      <w:szCs w:val="18"/>
                      <w:lang w:eastAsia="es-CR"/>
                    </w:rPr>
                  </w:pPr>
                  <w:r w:rsidRPr="0035377E">
                    <w:rPr>
                      <w:rFonts w:ascii="Arial" w:eastAsia="Times New Roman" w:hAnsi="Arial" w:cs="Arial"/>
                      <w:bCs/>
                      <w:sz w:val="18"/>
                      <w:szCs w:val="18"/>
                      <w:lang w:eastAsia="es-CR"/>
                    </w:rPr>
                    <w:t>Junio:</w:t>
                  </w:r>
                </w:p>
              </w:tc>
              <w:tc>
                <w:tcPr>
                  <w:tcW w:w="1468" w:type="dxa"/>
                  <w:shd w:val="clear" w:color="auto" w:fill="auto"/>
                </w:tcPr>
                <w:p w:rsidR="00623888" w:rsidRPr="0035377E" w:rsidRDefault="00623888" w:rsidP="00623888">
                  <w:pPr>
                    <w:spacing w:after="0" w:line="240" w:lineRule="auto"/>
                    <w:jc w:val="both"/>
                    <w:rPr>
                      <w:rFonts w:ascii="Arial" w:eastAsia="Times New Roman" w:hAnsi="Arial" w:cs="Arial"/>
                      <w:bCs/>
                      <w:sz w:val="18"/>
                      <w:szCs w:val="18"/>
                      <w:lang w:eastAsia="es-CR"/>
                    </w:rPr>
                  </w:pPr>
                  <w:r w:rsidRPr="0035377E">
                    <w:rPr>
                      <w:rFonts w:ascii="Arial" w:eastAsia="Times New Roman" w:hAnsi="Arial" w:cs="Arial"/>
                      <w:bCs/>
                      <w:sz w:val="18"/>
                      <w:szCs w:val="18"/>
                      <w:lang w:eastAsia="es-CR"/>
                    </w:rPr>
                    <w:t>¢3.057.000.000</w:t>
                  </w:r>
                </w:p>
              </w:tc>
              <w:tc>
                <w:tcPr>
                  <w:tcW w:w="1087" w:type="dxa"/>
                </w:tcPr>
                <w:p w:rsidR="00623888" w:rsidRPr="0035377E" w:rsidRDefault="00623888" w:rsidP="00623888">
                  <w:pPr>
                    <w:spacing w:after="0" w:line="240" w:lineRule="auto"/>
                    <w:jc w:val="both"/>
                    <w:rPr>
                      <w:rFonts w:ascii="Arial" w:eastAsia="Times New Roman" w:hAnsi="Arial" w:cs="Arial"/>
                      <w:bCs/>
                      <w:sz w:val="18"/>
                      <w:szCs w:val="18"/>
                      <w:lang w:eastAsia="es-CR"/>
                    </w:rPr>
                  </w:pPr>
                  <w:r w:rsidRPr="0035377E">
                    <w:rPr>
                      <w:rFonts w:ascii="Arial" w:eastAsia="Times New Roman" w:hAnsi="Arial" w:cs="Arial"/>
                      <w:bCs/>
                      <w:sz w:val="18"/>
                      <w:szCs w:val="18"/>
                      <w:lang w:eastAsia="es-CR"/>
                    </w:rPr>
                    <w:t>Diciembre</w:t>
                  </w:r>
                </w:p>
              </w:tc>
              <w:tc>
                <w:tcPr>
                  <w:tcW w:w="1568" w:type="dxa"/>
                </w:tcPr>
                <w:p w:rsidR="00623888" w:rsidRPr="0035377E" w:rsidRDefault="00623888" w:rsidP="00623888">
                  <w:pPr>
                    <w:spacing w:after="0" w:line="240" w:lineRule="auto"/>
                    <w:jc w:val="both"/>
                    <w:rPr>
                      <w:rFonts w:ascii="Arial" w:eastAsia="Times New Roman" w:hAnsi="Arial" w:cs="Arial"/>
                      <w:bCs/>
                      <w:sz w:val="18"/>
                      <w:szCs w:val="18"/>
                      <w:lang w:eastAsia="es-CR"/>
                    </w:rPr>
                  </w:pPr>
                  <w:r w:rsidRPr="0035377E">
                    <w:rPr>
                      <w:rFonts w:ascii="Arial" w:eastAsia="Times New Roman" w:hAnsi="Arial" w:cs="Arial"/>
                      <w:bCs/>
                      <w:sz w:val="18"/>
                      <w:szCs w:val="18"/>
                      <w:lang w:eastAsia="es-CR"/>
                    </w:rPr>
                    <w:t>¢6.966.000.000</w:t>
                  </w:r>
                </w:p>
              </w:tc>
            </w:tr>
            <w:tr w:rsidR="00623888" w:rsidRPr="0035377E" w:rsidTr="00BC1A0F">
              <w:trPr>
                <w:trHeight w:val="261"/>
              </w:trPr>
              <w:tc>
                <w:tcPr>
                  <w:tcW w:w="3452" w:type="dxa"/>
                  <w:gridSpan w:val="3"/>
                  <w:tcBorders>
                    <w:bottom w:val="single" w:sz="4" w:space="0" w:color="auto"/>
                  </w:tcBorders>
                  <w:shd w:val="clear" w:color="auto" w:fill="auto"/>
                </w:tcPr>
                <w:p w:rsidR="00623888" w:rsidRPr="0035377E" w:rsidRDefault="00623888" w:rsidP="00623888">
                  <w:pPr>
                    <w:spacing w:after="0" w:line="240" w:lineRule="auto"/>
                    <w:jc w:val="both"/>
                    <w:rPr>
                      <w:rFonts w:ascii="Arial" w:eastAsia="Times New Roman" w:hAnsi="Arial" w:cs="Arial"/>
                      <w:bCs/>
                      <w:sz w:val="18"/>
                      <w:szCs w:val="18"/>
                      <w:lang w:eastAsia="es-CR"/>
                    </w:rPr>
                  </w:pPr>
                  <w:r w:rsidRPr="0035377E">
                    <w:rPr>
                      <w:rFonts w:ascii="Arial" w:eastAsia="Times New Roman" w:hAnsi="Arial" w:cs="Arial"/>
                      <w:bCs/>
                      <w:sz w:val="18"/>
                      <w:szCs w:val="18"/>
                      <w:lang w:eastAsia="es-CR"/>
                    </w:rPr>
                    <w:t>Total Anual</w:t>
                  </w:r>
                </w:p>
              </w:tc>
              <w:tc>
                <w:tcPr>
                  <w:tcW w:w="1568" w:type="dxa"/>
                  <w:tcBorders>
                    <w:bottom w:val="single" w:sz="4" w:space="0" w:color="auto"/>
                  </w:tcBorders>
                </w:tcPr>
                <w:p w:rsidR="00623888" w:rsidRPr="0035377E" w:rsidRDefault="00623888" w:rsidP="00623888">
                  <w:pPr>
                    <w:spacing w:after="0" w:line="240" w:lineRule="auto"/>
                    <w:jc w:val="both"/>
                    <w:rPr>
                      <w:rFonts w:ascii="Arial" w:eastAsia="Times New Roman" w:hAnsi="Arial" w:cs="Arial"/>
                      <w:bCs/>
                      <w:sz w:val="18"/>
                      <w:szCs w:val="18"/>
                      <w:lang w:eastAsia="es-CR"/>
                    </w:rPr>
                  </w:pPr>
                  <w:r w:rsidRPr="0035377E">
                    <w:rPr>
                      <w:rFonts w:ascii="Arial" w:eastAsia="Times New Roman" w:hAnsi="Arial" w:cs="Arial"/>
                      <w:bCs/>
                      <w:sz w:val="18"/>
                      <w:szCs w:val="18"/>
                      <w:lang w:eastAsia="es-CR"/>
                    </w:rPr>
                    <w:t>¢50.447.500.000</w:t>
                  </w:r>
                </w:p>
              </w:tc>
            </w:tr>
            <w:tr w:rsidR="00623888" w:rsidRPr="0035377E" w:rsidTr="00BC1A0F">
              <w:trPr>
                <w:trHeight w:val="261"/>
              </w:trPr>
              <w:tc>
                <w:tcPr>
                  <w:tcW w:w="3452" w:type="dxa"/>
                  <w:gridSpan w:val="3"/>
                  <w:tcBorders>
                    <w:top w:val="single" w:sz="4" w:space="0" w:color="auto"/>
                    <w:left w:val="nil"/>
                    <w:bottom w:val="nil"/>
                    <w:right w:val="nil"/>
                  </w:tcBorders>
                  <w:shd w:val="clear" w:color="auto" w:fill="auto"/>
                </w:tcPr>
                <w:p w:rsidR="00623888" w:rsidRPr="0035377E" w:rsidRDefault="00623888" w:rsidP="00623888">
                  <w:pPr>
                    <w:spacing w:after="0" w:line="240" w:lineRule="auto"/>
                    <w:jc w:val="both"/>
                    <w:rPr>
                      <w:rFonts w:ascii="Arial" w:eastAsia="Times New Roman" w:hAnsi="Arial" w:cs="Arial"/>
                      <w:bCs/>
                      <w:sz w:val="18"/>
                      <w:szCs w:val="18"/>
                      <w:lang w:eastAsia="es-CR"/>
                    </w:rPr>
                  </w:pPr>
                </w:p>
              </w:tc>
              <w:tc>
                <w:tcPr>
                  <w:tcW w:w="1568" w:type="dxa"/>
                  <w:tcBorders>
                    <w:top w:val="single" w:sz="4" w:space="0" w:color="auto"/>
                    <w:left w:val="nil"/>
                    <w:bottom w:val="nil"/>
                    <w:right w:val="nil"/>
                  </w:tcBorders>
                </w:tcPr>
                <w:p w:rsidR="00623888" w:rsidRPr="0035377E" w:rsidRDefault="00623888" w:rsidP="00623888">
                  <w:pPr>
                    <w:spacing w:after="0" w:line="240" w:lineRule="auto"/>
                    <w:jc w:val="both"/>
                    <w:rPr>
                      <w:rFonts w:ascii="Arial" w:eastAsia="Times New Roman" w:hAnsi="Arial" w:cs="Arial"/>
                      <w:bCs/>
                      <w:sz w:val="18"/>
                      <w:szCs w:val="18"/>
                      <w:lang w:eastAsia="es-CR"/>
                    </w:rPr>
                  </w:pPr>
                </w:p>
              </w:tc>
            </w:tr>
          </w:tbl>
          <w:p w:rsidR="00623888" w:rsidRPr="0035377E" w:rsidRDefault="00623888" w:rsidP="00623888">
            <w:pPr>
              <w:spacing w:after="0" w:line="240" w:lineRule="auto"/>
              <w:jc w:val="both"/>
              <w:rPr>
                <w:rFonts w:ascii="Arial" w:eastAsia="Times New Roman" w:hAnsi="Arial" w:cs="Arial"/>
                <w:bCs/>
                <w:sz w:val="18"/>
                <w:szCs w:val="18"/>
                <w:lang w:eastAsia="es-CR"/>
              </w:rPr>
            </w:pPr>
          </w:p>
        </w:tc>
      </w:tr>
      <w:tr w:rsidR="00623888" w:rsidRPr="0035377E" w:rsidTr="00BC1A0F">
        <w:trPr>
          <w:trHeight w:val="705"/>
        </w:trPr>
        <w:tc>
          <w:tcPr>
            <w:tcW w:w="2259" w:type="pct"/>
            <w:shd w:val="clear" w:color="auto" w:fill="auto"/>
            <w:hideMark/>
          </w:tcPr>
          <w:p w:rsidR="00623888" w:rsidRPr="0035377E" w:rsidRDefault="00623888" w:rsidP="00623888">
            <w:pPr>
              <w:spacing w:after="0" w:line="240" w:lineRule="auto"/>
              <w:jc w:val="both"/>
              <w:rPr>
                <w:rFonts w:ascii="Arial" w:eastAsia="Times New Roman" w:hAnsi="Arial" w:cs="Arial"/>
                <w:bCs/>
                <w:sz w:val="18"/>
                <w:szCs w:val="18"/>
                <w:lang w:eastAsia="es-CR"/>
              </w:rPr>
            </w:pPr>
            <w:r w:rsidRPr="0035377E">
              <w:rPr>
                <w:rFonts w:ascii="Arial" w:eastAsia="Times New Roman" w:hAnsi="Arial" w:cs="Arial"/>
                <w:bCs/>
                <w:sz w:val="18"/>
                <w:szCs w:val="18"/>
                <w:lang w:eastAsia="es-CR"/>
              </w:rPr>
              <w:t xml:space="preserve">b) Limitaciones: </w:t>
            </w:r>
          </w:p>
          <w:p w:rsidR="00623888" w:rsidRPr="0035377E" w:rsidRDefault="00623888" w:rsidP="00623888">
            <w:pPr>
              <w:spacing w:after="0" w:line="240" w:lineRule="auto"/>
              <w:jc w:val="both"/>
              <w:rPr>
                <w:rFonts w:ascii="Arial" w:eastAsia="Times New Roman" w:hAnsi="Arial" w:cs="Arial"/>
                <w:bCs/>
                <w:sz w:val="18"/>
                <w:szCs w:val="18"/>
                <w:lang w:eastAsia="es-CR"/>
              </w:rPr>
            </w:pPr>
          </w:p>
          <w:p w:rsidR="00623888" w:rsidRPr="0035377E" w:rsidRDefault="00623888" w:rsidP="00623888">
            <w:pPr>
              <w:spacing w:after="0" w:line="240" w:lineRule="auto"/>
              <w:jc w:val="both"/>
              <w:rPr>
                <w:rFonts w:ascii="Arial" w:eastAsia="Times New Roman" w:hAnsi="Arial" w:cs="Arial"/>
                <w:bCs/>
                <w:sz w:val="18"/>
                <w:szCs w:val="18"/>
                <w:lang w:eastAsia="es-CR"/>
              </w:rPr>
            </w:pPr>
          </w:p>
        </w:tc>
        <w:tc>
          <w:tcPr>
            <w:tcW w:w="2741" w:type="pct"/>
            <w:shd w:val="clear" w:color="auto" w:fill="auto"/>
          </w:tcPr>
          <w:p w:rsidR="00623888" w:rsidRPr="0035377E" w:rsidRDefault="00623888" w:rsidP="0035377E">
            <w:pPr>
              <w:spacing w:after="0" w:line="240" w:lineRule="auto"/>
              <w:jc w:val="both"/>
              <w:rPr>
                <w:rFonts w:ascii="Arial" w:eastAsia="Times New Roman" w:hAnsi="Arial" w:cs="Arial"/>
                <w:bCs/>
                <w:sz w:val="18"/>
                <w:szCs w:val="18"/>
                <w:lang w:eastAsia="es-CR"/>
              </w:rPr>
            </w:pPr>
            <w:r w:rsidRPr="0035377E">
              <w:rPr>
                <w:rFonts w:ascii="Arial" w:eastAsia="Times New Roman" w:hAnsi="Arial" w:cs="Arial"/>
                <w:bCs/>
                <w:sz w:val="18"/>
                <w:szCs w:val="18"/>
                <w:lang w:eastAsia="es-CR"/>
              </w:rPr>
              <w:t>- La información obtenida de los registros contables, limita brindar a los clientes información oportuna y confiable. Este aspecto se espera subsanar con la implementación de un sistema integrado de información, que a diciembre está funcionando.</w:t>
            </w:r>
          </w:p>
        </w:tc>
      </w:tr>
      <w:tr w:rsidR="00623888" w:rsidRPr="0035377E" w:rsidTr="00BC1A0F">
        <w:trPr>
          <w:trHeight w:val="399"/>
        </w:trPr>
        <w:tc>
          <w:tcPr>
            <w:tcW w:w="2259" w:type="pct"/>
            <w:shd w:val="clear" w:color="auto" w:fill="auto"/>
            <w:hideMark/>
          </w:tcPr>
          <w:p w:rsidR="00623888" w:rsidRPr="0035377E" w:rsidRDefault="00623888" w:rsidP="00623888">
            <w:pPr>
              <w:spacing w:after="0" w:line="240" w:lineRule="auto"/>
              <w:jc w:val="both"/>
              <w:rPr>
                <w:rFonts w:ascii="Arial" w:eastAsia="Times New Roman" w:hAnsi="Arial" w:cs="Arial"/>
                <w:bCs/>
                <w:sz w:val="18"/>
                <w:szCs w:val="18"/>
                <w:lang w:eastAsia="es-CR"/>
              </w:rPr>
            </w:pPr>
            <w:r w:rsidRPr="0035377E">
              <w:rPr>
                <w:rFonts w:ascii="Arial" w:eastAsia="Times New Roman" w:hAnsi="Arial" w:cs="Arial"/>
                <w:bCs/>
                <w:sz w:val="18"/>
                <w:szCs w:val="18"/>
                <w:lang w:eastAsia="es-CR"/>
              </w:rPr>
              <w:t>c) Medidas correctivas o acciones de mejora (realizadas y por realizar) para el logro de la meta:</w:t>
            </w:r>
          </w:p>
        </w:tc>
        <w:tc>
          <w:tcPr>
            <w:tcW w:w="2741" w:type="pct"/>
            <w:shd w:val="clear" w:color="auto" w:fill="auto"/>
          </w:tcPr>
          <w:p w:rsidR="00623888" w:rsidRPr="0035377E" w:rsidRDefault="00623888" w:rsidP="00623888">
            <w:pPr>
              <w:spacing w:after="0" w:line="240" w:lineRule="auto"/>
              <w:jc w:val="both"/>
              <w:rPr>
                <w:rFonts w:ascii="Arial" w:eastAsia="Times New Roman" w:hAnsi="Arial" w:cs="Arial"/>
                <w:bCs/>
                <w:sz w:val="18"/>
                <w:szCs w:val="18"/>
                <w:lang w:eastAsia="es-CR"/>
              </w:rPr>
            </w:pPr>
            <w:r w:rsidRPr="0035377E">
              <w:rPr>
                <w:rFonts w:ascii="Arial" w:eastAsia="Times New Roman" w:hAnsi="Arial" w:cs="Arial"/>
                <w:bCs/>
                <w:sz w:val="18"/>
                <w:szCs w:val="18"/>
                <w:lang w:eastAsia="es-CR"/>
              </w:rPr>
              <w:t xml:space="preserve">- Se aprobó por parte de Junta Directiva, la propuesta para mejorar las condiciones financieras del SAP, mediante Acta de Sesión Extraordinaria No. 6271, del 28 de julio del 2017. </w:t>
            </w:r>
          </w:p>
          <w:p w:rsidR="00623888" w:rsidRPr="0035377E" w:rsidRDefault="00623888" w:rsidP="00623888">
            <w:pPr>
              <w:spacing w:after="0" w:line="240" w:lineRule="auto"/>
              <w:jc w:val="both"/>
              <w:rPr>
                <w:rFonts w:ascii="Arial" w:eastAsia="Times New Roman" w:hAnsi="Arial" w:cs="Arial"/>
                <w:bCs/>
                <w:sz w:val="18"/>
                <w:szCs w:val="18"/>
                <w:lang w:eastAsia="es-CR"/>
              </w:rPr>
            </w:pPr>
            <w:r w:rsidRPr="0035377E">
              <w:rPr>
                <w:rFonts w:ascii="Arial" w:eastAsia="Times New Roman" w:hAnsi="Arial" w:cs="Arial"/>
                <w:bCs/>
                <w:sz w:val="18"/>
                <w:szCs w:val="18"/>
                <w:lang w:eastAsia="es-CR"/>
              </w:rPr>
              <w:t xml:space="preserve">- Se implementaron las nuevas condiciones del Sistema de Ahorro y Préstamo (SAP). </w:t>
            </w:r>
          </w:p>
          <w:p w:rsidR="00623888" w:rsidRPr="0035377E" w:rsidRDefault="00623888" w:rsidP="00623888">
            <w:pPr>
              <w:spacing w:after="0" w:line="240" w:lineRule="auto"/>
              <w:jc w:val="both"/>
              <w:rPr>
                <w:rFonts w:ascii="Arial" w:eastAsia="Times New Roman" w:hAnsi="Arial" w:cs="Arial"/>
                <w:bCs/>
                <w:sz w:val="18"/>
                <w:szCs w:val="18"/>
                <w:lang w:eastAsia="es-CR"/>
              </w:rPr>
            </w:pPr>
            <w:r w:rsidRPr="0035377E">
              <w:rPr>
                <w:rFonts w:ascii="Arial" w:eastAsia="Times New Roman" w:hAnsi="Arial" w:cs="Arial"/>
                <w:bCs/>
                <w:sz w:val="18"/>
                <w:szCs w:val="18"/>
                <w:lang w:eastAsia="es-CR"/>
              </w:rPr>
              <w:t>- Reuniones periódicas con Comisionistas para la consolidación de la fuerza de ventas.</w:t>
            </w:r>
          </w:p>
        </w:tc>
      </w:tr>
    </w:tbl>
    <w:p w:rsidR="00623888" w:rsidRPr="00623888" w:rsidRDefault="00623888" w:rsidP="00623888">
      <w:pPr>
        <w:spacing w:after="0" w:line="240" w:lineRule="auto"/>
        <w:jc w:val="both"/>
        <w:rPr>
          <w:rFonts w:ascii="Arial" w:eastAsia="Times New Roman" w:hAnsi="Arial" w:cs="Arial"/>
          <w:bCs/>
          <w:sz w:val="20"/>
          <w:szCs w:val="20"/>
          <w:lang w:eastAsia="es-CR"/>
        </w:rPr>
      </w:pPr>
    </w:p>
    <w:p w:rsidR="00623888" w:rsidRPr="0035377E" w:rsidRDefault="00623888" w:rsidP="00623888">
      <w:pPr>
        <w:spacing w:after="0" w:line="240" w:lineRule="auto"/>
        <w:jc w:val="both"/>
        <w:rPr>
          <w:rFonts w:ascii="Arial" w:eastAsia="Times New Roman" w:hAnsi="Arial" w:cs="Arial"/>
          <w:bCs/>
          <w:sz w:val="18"/>
          <w:szCs w:val="18"/>
          <w:lang w:eastAsia="es-CR"/>
        </w:rPr>
      </w:pPr>
      <w:r w:rsidRPr="0035377E">
        <w:rPr>
          <w:rFonts w:ascii="Arial" w:eastAsia="Times New Roman" w:hAnsi="Arial" w:cs="Arial"/>
          <w:bCs/>
          <w:sz w:val="18"/>
          <w:szCs w:val="18"/>
          <w:lang w:eastAsia="es-CR"/>
        </w:rPr>
        <w:t>Nota Fuente: Informe de rendimiento de cuentas de área. (2017)</w:t>
      </w:r>
    </w:p>
    <w:p w:rsidR="00623888" w:rsidRPr="0035377E" w:rsidRDefault="00623888" w:rsidP="00623888">
      <w:pPr>
        <w:pStyle w:val="Textoindependiente"/>
        <w:spacing w:after="0" w:line="240" w:lineRule="auto"/>
        <w:rPr>
          <w:rFonts w:cs="Arial"/>
          <w:bCs/>
          <w:color w:val="000000"/>
          <w:sz w:val="18"/>
          <w:szCs w:val="18"/>
          <w:lang w:eastAsia="es-CR"/>
        </w:rPr>
      </w:pPr>
      <w:r w:rsidRPr="0035377E">
        <w:rPr>
          <w:rFonts w:cs="Arial"/>
          <w:bCs/>
          <w:color w:val="000000"/>
          <w:sz w:val="18"/>
          <w:szCs w:val="18"/>
          <w:lang w:eastAsia="es-CR"/>
        </w:rPr>
        <w:br w:type="page"/>
      </w:r>
    </w:p>
    <w:p w:rsidR="00623888" w:rsidRPr="00623888" w:rsidRDefault="00623888" w:rsidP="00623888">
      <w:pPr>
        <w:spacing w:after="0" w:line="240" w:lineRule="auto"/>
        <w:rPr>
          <w:rFonts w:ascii="Arial" w:eastAsia="Times New Roman" w:hAnsi="Arial" w:cs="Arial"/>
          <w:b/>
          <w:bCs/>
          <w:color w:val="000000"/>
          <w:sz w:val="20"/>
          <w:szCs w:val="20"/>
          <w:lang w:eastAsia="es-CR"/>
        </w:rPr>
      </w:pPr>
      <w:r w:rsidRPr="00623888">
        <w:rPr>
          <w:rFonts w:ascii="Arial" w:eastAsia="Times New Roman" w:hAnsi="Arial" w:cs="Arial"/>
          <w:b/>
          <w:bCs/>
          <w:color w:val="000000"/>
          <w:sz w:val="20"/>
          <w:szCs w:val="20"/>
          <w:lang w:eastAsia="es-CR"/>
        </w:rPr>
        <w:lastRenderedPageBreak/>
        <w:t>Indicador 45. Porcentaje de incremento en las ventas de contratos fuera de la provincia de San José, en relación con el año 2016</w:t>
      </w:r>
    </w:p>
    <w:p w:rsidR="00623888" w:rsidRPr="00623888" w:rsidRDefault="00623888" w:rsidP="00623888">
      <w:pPr>
        <w:spacing w:after="0" w:line="240" w:lineRule="auto"/>
        <w:rPr>
          <w:rFonts w:ascii="Arial" w:eastAsia="Times New Roman" w:hAnsi="Arial" w:cs="Arial"/>
          <w:b/>
          <w:bCs/>
          <w:color w:val="000000"/>
          <w:sz w:val="20"/>
          <w:szCs w:val="20"/>
          <w:lang w:eastAsia="es-CR"/>
        </w:rPr>
      </w:pPr>
    </w:p>
    <w:p w:rsidR="00623888" w:rsidRPr="0035377E" w:rsidRDefault="00623888" w:rsidP="0035377E">
      <w:pPr>
        <w:spacing w:after="0" w:line="240" w:lineRule="auto"/>
        <w:jc w:val="both"/>
        <w:rPr>
          <w:rFonts w:ascii="Arial" w:eastAsia="Times New Roman" w:hAnsi="Arial" w:cs="Arial"/>
          <w:bCs/>
          <w:color w:val="000000"/>
          <w:sz w:val="20"/>
          <w:szCs w:val="20"/>
          <w:lang w:eastAsia="es-CR"/>
        </w:rPr>
      </w:pPr>
      <w:r w:rsidRPr="0035377E">
        <w:rPr>
          <w:rFonts w:ascii="Arial" w:eastAsia="Times New Roman" w:hAnsi="Arial" w:cs="Arial"/>
          <w:bCs/>
          <w:color w:val="000000"/>
          <w:sz w:val="20"/>
          <w:szCs w:val="20"/>
          <w:lang w:eastAsia="es-CR"/>
        </w:rPr>
        <w:t>Este indicador se evalúa de acuerdo con la información disponible a setiembre, ya que el sistema de información actual, requiere un ajuste para emitir un reporte que permita la información por provincia.</w:t>
      </w:r>
    </w:p>
    <w:p w:rsidR="00623888" w:rsidRPr="0035377E" w:rsidRDefault="00623888" w:rsidP="0035377E">
      <w:pPr>
        <w:spacing w:after="0" w:line="240" w:lineRule="auto"/>
        <w:jc w:val="both"/>
        <w:rPr>
          <w:rFonts w:ascii="Arial" w:eastAsia="Times New Roman" w:hAnsi="Arial" w:cs="Arial"/>
          <w:bCs/>
          <w:color w:val="000000"/>
          <w:sz w:val="20"/>
          <w:szCs w:val="20"/>
          <w:lang w:eastAsia="es-CR"/>
        </w:rPr>
      </w:pPr>
    </w:p>
    <w:p w:rsidR="00623888" w:rsidRPr="0035377E" w:rsidRDefault="00623888" w:rsidP="0035377E">
      <w:pPr>
        <w:spacing w:after="0" w:line="240" w:lineRule="auto"/>
        <w:jc w:val="both"/>
        <w:rPr>
          <w:rFonts w:ascii="Arial" w:eastAsia="Times New Roman" w:hAnsi="Arial" w:cs="Arial"/>
          <w:bCs/>
          <w:color w:val="000000"/>
          <w:sz w:val="20"/>
          <w:szCs w:val="20"/>
          <w:lang w:eastAsia="es-CR"/>
        </w:rPr>
      </w:pPr>
      <w:r w:rsidRPr="0035377E">
        <w:rPr>
          <w:rFonts w:ascii="Arial" w:eastAsia="Times New Roman" w:hAnsi="Arial" w:cs="Arial"/>
          <w:bCs/>
          <w:color w:val="000000"/>
          <w:sz w:val="20"/>
          <w:szCs w:val="20"/>
          <w:lang w:eastAsia="es-CR"/>
        </w:rPr>
        <w:t>Las ventas de contratos a setiembre fuera de la provincia de San José, en relación con el año 2016, aumentaron en un 5%, es decir ¢962,0 millones, como se puede observar en el cuadro y gráfico siguiente, por lo que la meta anual, establecida en un 5%, se cumplió.</w:t>
      </w:r>
    </w:p>
    <w:p w:rsidR="00623888" w:rsidRPr="0035377E" w:rsidRDefault="00623888" w:rsidP="0035377E">
      <w:pPr>
        <w:spacing w:after="0" w:line="240" w:lineRule="auto"/>
        <w:jc w:val="both"/>
        <w:rPr>
          <w:rFonts w:ascii="Arial" w:eastAsia="Times New Roman" w:hAnsi="Arial" w:cs="Arial"/>
          <w:bCs/>
          <w:color w:val="000000"/>
          <w:sz w:val="20"/>
          <w:szCs w:val="20"/>
          <w:lang w:eastAsia="es-CR"/>
        </w:rPr>
      </w:pPr>
    </w:p>
    <w:tbl>
      <w:tblPr>
        <w:tblW w:w="6922" w:type="dxa"/>
        <w:jc w:val="center"/>
        <w:tblCellMar>
          <w:left w:w="70" w:type="dxa"/>
          <w:right w:w="70" w:type="dxa"/>
        </w:tblCellMar>
        <w:tblLook w:val="04A0" w:firstRow="1" w:lastRow="0" w:firstColumn="1" w:lastColumn="0" w:noHBand="0" w:noVBand="1"/>
      </w:tblPr>
      <w:tblGrid>
        <w:gridCol w:w="1331"/>
        <w:gridCol w:w="1572"/>
        <w:gridCol w:w="1301"/>
        <w:gridCol w:w="1407"/>
        <w:gridCol w:w="1311"/>
      </w:tblGrid>
      <w:tr w:rsidR="00623888" w:rsidRPr="0035377E" w:rsidTr="00BC1A0F">
        <w:trPr>
          <w:trHeight w:val="342"/>
          <w:jc w:val="center"/>
        </w:trPr>
        <w:tc>
          <w:tcPr>
            <w:tcW w:w="6922" w:type="dxa"/>
            <w:gridSpan w:val="5"/>
            <w:tcBorders>
              <w:top w:val="nil"/>
              <w:left w:val="nil"/>
              <w:bottom w:val="single" w:sz="8" w:space="0" w:color="auto"/>
              <w:right w:val="nil"/>
            </w:tcBorders>
            <w:shd w:val="clear" w:color="auto" w:fill="auto"/>
            <w:noWrap/>
            <w:vAlign w:val="bottom"/>
            <w:hideMark/>
          </w:tcPr>
          <w:p w:rsidR="00623888" w:rsidRPr="0035377E" w:rsidRDefault="00623888" w:rsidP="0035377E">
            <w:pPr>
              <w:spacing w:after="0" w:line="240" w:lineRule="auto"/>
              <w:jc w:val="center"/>
              <w:rPr>
                <w:rFonts w:ascii="Arial" w:eastAsia="Times New Roman" w:hAnsi="Arial" w:cs="Arial"/>
                <w:b/>
                <w:bCs/>
                <w:color w:val="000000"/>
                <w:sz w:val="18"/>
                <w:szCs w:val="18"/>
                <w:lang w:eastAsia="es-CR"/>
              </w:rPr>
            </w:pPr>
            <w:r w:rsidRPr="0035377E">
              <w:rPr>
                <w:rFonts w:ascii="Arial" w:eastAsia="Times New Roman" w:hAnsi="Arial" w:cs="Arial"/>
                <w:b/>
                <w:bCs/>
                <w:color w:val="000000"/>
                <w:sz w:val="18"/>
                <w:szCs w:val="18"/>
                <w:lang w:eastAsia="es-CR"/>
              </w:rPr>
              <w:t>Cuadro 1</w:t>
            </w:r>
            <w:r w:rsidR="00BC1DD5">
              <w:rPr>
                <w:rFonts w:ascii="Arial" w:eastAsia="Times New Roman" w:hAnsi="Arial" w:cs="Arial"/>
                <w:b/>
                <w:bCs/>
                <w:color w:val="000000"/>
                <w:sz w:val="18"/>
                <w:szCs w:val="18"/>
                <w:lang w:eastAsia="es-CR"/>
              </w:rPr>
              <w:t>2</w:t>
            </w:r>
            <w:r w:rsidRPr="0035377E">
              <w:rPr>
                <w:rFonts w:ascii="Arial" w:eastAsia="Times New Roman" w:hAnsi="Arial" w:cs="Arial"/>
                <w:b/>
                <w:bCs/>
                <w:color w:val="000000"/>
                <w:sz w:val="18"/>
                <w:szCs w:val="18"/>
                <w:lang w:eastAsia="es-CR"/>
              </w:rPr>
              <w:t xml:space="preserve"> Aumento o Disminución de las Ventas de Contratos</w:t>
            </w:r>
          </w:p>
          <w:p w:rsidR="00623888" w:rsidRPr="0035377E" w:rsidRDefault="00623888" w:rsidP="0035377E">
            <w:pPr>
              <w:spacing w:after="0" w:line="240" w:lineRule="auto"/>
              <w:jc w:val="center"/>
              <w:rPr>
                <w:rFonts w:ascii="Arial" w:eastAsia="Times New Roman" w:hAnsi="Arial" w:cs="Arial"/>
                <w:b/>
                <w:bCs/>
                <w:color w:val="000000"/>
                <w:sz w:val="18"/>
                <w:szCs w:val="18"/>
                <w:lang w:eastAsia="es-CR"/>
              </w:rPr>
            </w:pPr>
            <w:r w:rsidRPr="0035377E">
              <w:rPr>
                <w:rFonts w:ascii="Arial" w:eastAsia="Times New Roman" w:hAnsi="Arial" w:cs="Arial"/>
                <w:b/>
                <w:bCs/>
                <w:color w:val="000000"/>
                <w:sz w:val="18"/>
                <w:szCs w:val="18"/>
                <w:lang w:eastAsia="es-CR"/>
              </w:rPr>
              <w:t>(setiembre 2017 vrs setiembre 2016)</w:t>
            </w:r>
          </w:p>
        </w:tc>
      </w:tr>
      <w:tr w:rsidR="00623888" w:rsidRPr="0035377E" w:rsidTr="00BC1A0F">
        <w:trPr>
          <w:trHeight w:val="554"/>
          <w:jc w:val="center"/>
        </w:trPr>
        <w:tc>
          <w:tcPr>
            <w:tcW w:w="1331" w:type="dxa"/>
            <w:vMerge w:val="restart"/>
            <w:tcBorders>
              <w:top w:val="nil"/>
              <w:left w:val="single" w:sz="8" w:space="0" w:color="auto"/>
              <w:bottom w:val="single" w:sz="8" w:space="0" w:color="000000"/>
              <w:right w:val="single" w:sz="4" w:space="0" w:color="auto"/>
            </w:tcBorders>
            <w:shd w:val="clear" w:color="auto" w:fill="auto"/>
            <w:vAlign w:val="center"/>
            <w:hideMark/>
          </w:tcPr>
          <w:p w:rsidR="00623888" w:rsidRPr="0035377E" w:rsidRDefault="00623888" w:rsidP="00623888">
            <w:pPr>
              <w:spacing w:after="0" w:line="240" w:lineRule="auto"/>
              <w:rPr>
                <w:rFonts w:ascii="Arial" w:eastAsia="Times New Roman" w:hAnsi="Arial" w:cs="Arial"/>
                <w:b/>
                <w:bCs/>
                <w:color w:val="000000"/>
                <w:sz w:val="18"/>
                <w:szCs w:val="18"/>
                <w:lang w:eastAsia="es-CR"/>
              </w:rPr>
            </w:pPr>
            <w:r w:rsidRPr="0035377E">
              <w:rPr>
                <w:rFonts w:ascii="Arial" w:eastAsia="Times New Roman" w:hAnsi="Arial" w:cs="Arial"/>
                <w:b/>
                <w:bCs/>
                <w:color w:val="000000"/>
                <w:sz w:val="18"/>
                <w:szCs w:val="18"/>
                <w:lang w:eastAsia="es-CR"/>
              </w:rPr>
              <w:t>Provincia</w:t>
            </w:r>
          </w:p>
        </w:tc>
        <w:tc>
          <w:tcPr>
            <w:tcW w:w="2873" w:type="dxa"/>
            <w:gridSpan w:val="2"/>
            <w:tcBorders>
              <w:top w:val="single" w:sz="8" w:space="0" w:color="auto"/>
              <w:left w:val="nil"/>
              <w:bottom w:val="single" w:sz="4" w:space="0" w:color="auto"/>
              <w:right w:val="single" w:sz="4" w:space="0" w:color="auto"/>
            </w:tcBorders>
            <w:shd w:val="clear" w:color="auto" w:fill="auto"/>
            <w:vAlign w:val="center"/>
            <w:hideMark/>
          </w:tcPr>
          <w:p w:rsidR="00623888" w:rsidRPr="0035377E" w:rsidRDefault="00623888" w:rsidP="00623888">
            <w:pPr>
              <w:spacing w:after="0" w:line="240" w:lineRule="auto"/>
              <w:rPr>
                <w:rFonts w:ascii="Arial" w:eastAsia="Times New Roman" w:hAnsi="Arial" w:cs="Arial"/>
                <w:b/>
                <w:bCs/>
                <w:color w:val="000000"/>
                <w:sz w:val="18"/>
                <w:szCs w:val="18"/>
                <w:lang w:eastAsia="es-CR"/>
              </w:rPr>
            </w:pPr>
            <w:r w:rsidRPr="0035377E">
              <w:rPr>
                <w:rFonts w:ascii="Arial" w:eastAsia="Times New Roman" w:hAnsi="Arial" w:cs="Arial"/>
                <w:b/>
                <w:bCs/>
                <w:color w:val="000000"/>
                <w:sz w:val="18"/>
                <w:szCs w:val="18"/>
                <w:lang w:eastAsia="es-CR"/>
              </w:rPr>
              <w:t xml:space="preserve">Venta de Contratos por Períodos </w:t>
            </w:r>
          </w:p>
        </w:tc>
        <w:tc>
          <w:tcPr>
            <w:tcW w:w="2718" w:type="dxa"/>
            <w:gridSpan w:val="2"/>
            <w:vMerge w:val="restart"/>
            <w:tcBorders>
              <w:top w:val="single" w:sz="8" w:space="0" w:color="auto"/>
              <w:left w:val="single" w:sz="4" w:space="0" w:color="auto"/>
              <w:bottom w:val="single" w:sz="8" w:space="0" w:color="000000"/>
              <w:right w:val="single" w:sz="8" w:space="0" w:color="000000"/>
            </w:tcBorders>
            <w:shd w:val="clear" w:color="auto" w:fill="auto"/>
            <w:vAlign w:val="center"/>
            <w:hideMark/>
          </w:tcPr>
          <w:p w:rsidR="00623888" w:rsidRPr="0035377E" w:rsidRDefault="00623888" w:rsidP="00623888">
            <w:pPr>
              <w:spacing w:after="0" w:line="240" w:lineRule="auto"/>
              <w:rPr>
                <w:rFonts w:ascii="Arial" w:eastAsia="Times New Roman" w:hAnsi="Arial" w:cs="Arial"/>
                <w:b/>
                <w:bCs/>
                <w:color w:val="000000"/>
                <w:sz w:val="18"/>
                <w:szCs w:val="18"/>
                <w:lang w:eastAsia="es-CR"/>
              </w:rPr>
            </w:pPr>
            <w:r w:rsidRPr="0035377E">
              <w:rPr>
                <w:rFonts w:ascii="Arial" w:eastAsia="Times New Roman" w:hAnsi="Arial" w:cs="Arial"/>
                <w:b/>
                <w:bCs/>
                <w:color w:val="000000"/>
                <w:sz w:val="18"/>
                <w:szCs w:val="18"/>
                <w:lang w:eastAsia="es-CR"/>
              </w:rPr>
              <w:t>Aumento o Disminución</w:t>
            </w:r>
          </w:p>
        </w:tc>
      </w:tr>
      <w:tr w:rsidR="00623888" w:rsidRPr="0035377E" w:rsidTr="00BC1A0F">
        <w:trPr>
          <w:trHeight w:val="436"/>
          <w:jc w:val="center"/>
        </w:trPr>
        <w:tc>
          <w:tcPr>
            <w:tcW w:w="1331" w:type="dxa"/>
            <w:vMerge/>
            <w:tcBorders>
              <w:top w:val="nil"/>
              <w:left w:val="single" w:sz="8" w:space="0" w:color="auto"/>
              <w:bottom w:val="single" w:sz="8" w:space="0" w:color="000000"/>
              <w:right w:val="single" w:sz="4" w:space="0" w:color="auto"/>
            </w:tcBorders>
            <w:vAlign w:val="center"/>
            <w:hideMark/>
          </w:tcPr>
          <w:p w:rsidR="00623888" w:rsidRPr="0035377E" w:rsidRDefault="00623888" w:rsidP="00623888">
            <w:pPr>
              <w:spacing w:after="0" w:line="240" w:lineRule="auto"/>
              <w:rPr>
                <w:rFonts w:ascii="Arial" w:eastAsia="Times New Roman" w:hAnsi="Arial" w:cs="Arial"/>
                <w:b/>
                <w:bCs/>
                <w:color w:val="000000"/>
                <w:sz w:val="18"/>
                <w:szCs w:val="18"/>
                <w:lang w:eastAsia="es-CR"/>
              </w:rPr>
            </w:pPr>
          </w:p>
        </w:tc>
        <w:tc>
          <w:tcPr>
            <w:tcW w:w="1572" w:type="dxa"/>
            <w:tcBorders>
              <w:top w:val="nil"/>
              <w:left w:val="nil"/>
              <w:bottom w:val="single" w:sz="8" w:space="0" w:color="auto"/>
              <w:right w:val="single" w:sz="4" w:space="0" w:color="auto"/>
            </w:tcBorders>
            <w:shd w:val="clear" w:color="auto" w:fill="auto"/>
            <w:vAlign w:val="center"/>
            <w:hideMark/>
          </w:tcPr>
          <w:p w:rsidR="00623888" w:rsidRPr="0035377E" w:rsidRDefault="00623888" w:rsidP="00623888">
            <w:pPr>
              <w:spacing w:after="0" w:line="240" w:lineRule="auto"/>
              <w:rPr>
                <w:rFonts w:ascii="Arial" w:eastAsia="Times New Roman" w:hAnsi="Arial" w:cs="Arial"/>
                <w:b/>
                <w:bCs/>
                <w:color w:val="000000"/>
                <w:sz w:val="18"/>
                <w:szCs w:val="18"/>
                <w:lang w:eastAsia="es-CR"/>
              </w:rPr>
            </w:pPr>
            <w:r w:rsidRPr="0035377E">
              <w:rPr>
                <w:rFonts w:ascii="Arial" w:eastAsia="Times New Roman" w:hAnsi="Arial" w:cs="Arial"/>
                <w:b/>
                <w:bCs/>
                <w:color w:val="000000"/>
                <w:sz w:val="18"/>
                <w:szCs w:val="18"/>
                <w:lang w:eastAsia="es-CR"/>
              </w:rPr>
              <w:t>2016</w:t>
            </w:r>
          </w:p>
        </w:tc>
        <w:tc>
          <w:tcPr>
            <w:tcW w:w="1301" w:type="dxa"/>
            <w:tcBorders>
              <w:top w:val="nil"/>
              <w:left w:val="nil"/>
              <w:bottom w:val="single" w:sz="8" w:space="0" w:color="auto"/>
              <w:right w:val="single" w:sz="4" w:space="0" w:color="auto"/>
            </w:tcBorders>
            <w:shd w:val="clear" w:color="auto" w:fill="auto"/>
            <w:vAlign w:val="center"/>
            <w:hideMark/>
          </w:tcPr>
          <w:p w:rsidR="00623888" w:rsidRPr="0035377E" w:rsidRDefault="00623888" w:rsidP="00623888">
            <w:pPr>
              <w:spacing w:after="0" w:line="240" w:lineRule="auto"/>
              <w:rPr>
                <w:rFonts w:ascii="Arial" w:eastAsia="Times New Roman" w:hAnsi="Arial" w:cs="Arial"/>
                <w:b/>
                <w:bCs/>
                <w:color w:val="000000"/>
                <w:sz w:val="18"/>
                <w:szCs w:val="18"/>
                <w:lang w:eastAsia="es-CR"/>
              </w:rPr>
            </w:pPr>
            <w:r w:rsidRPr="0035377E">
              <w:rPr>
                <w:rFonts w:ascii="Arial" w:eastAsia="Times New Roman" w:hAnsi="Arial" w:cs="Arial"/>
                <w:b/>
                <w:bCs/>
                <w:color w:val="000000"/>
                <w:sz w:val="18"/>
                <w:szCs w:val="18"/>
                <w:lang w:eastAsia="es-CR"/>
              </w:rPr>
              <w:t>2017</w:t>
            </w:r>
          </w:p>
        </w:tc>
        <w:tc>
          <w:tcPr>
            <w:tcW w:w="2718" w:type="dxa"/>
            <w:gridSpan w:val="2"/>
            <w:vMerge/>
            <w:tcBorders>
              <w:top w:val="nil"/>
              <w:left w:val="nil"/>
              <w:bottom w:val="single" w:sz="8" w:space="0" w:color="auto"/>
              <w:right w:val="single" w:sz="4" w:space="0" w:color="auto"/>
            </w:tcBorders>
            <w:vAlign w:val="center"/>
            <w:hideMark/>
          </w:tcPr>
          <w:p w:rsidR="00623888" w:rsidRPr="0035377E" w:rsidRDefault="00623888" w:rsidP="00623888">
            <w:pPr>
              <w:spacing w:after="0" w:line="240" w:lineRule="auto"/>
              <w:rPr>
                <w:rFonts w:ascii="Arial" w:eastAsia="Times New Roman" w:hAnsi="Arial" w:cs="Arial"/>
                <w:b/>
                <w:bCs/>
                <w:color w:val="000000"/>
                <w:sz w:val="18"/>
                <w:szCs w:val="18"/>
                <w:lang w:eastAsia="es-CR"/>
              </w:rPr>
            </w:pPr>
          </w:p>
        </w:tc>
      </w:tr>
      <w:tr w:rsidR="00623888" w:rsidRPr="0035377E" w:rsidTr="00BC1A0F">
        <w:trPr>
          <w:trHeight w:val="326"/>
          <w:jc w:val="center"/>
        </w:trPr>
        <w:tc>
          <w:tcPr>
            <w:tcW w:w="1331" w:type="dxa"/>
            <w:tcBorders>
              <w:top w:val="nil"/>
              <w:left w:val="single" w:sz="8" w:space="0" w:color="auto"/>
              <w:bottom w:val="single" w:sz="4" w:space="0" w:color="auto"/>
              <w:right w:val="single" w:sz="4" w:space="0" w:color="auto"/>
            </w:tcBorders>
            <w:shd w:val="clear" w:color="auto" w:fill="auto"/>
            <w:vAlign w:val="center"/>
            <w:hideMark/>
          </w:tcPr>
          <w:p w:rsidR="00623888" w:rsidRPr="0035377E" w:rsidRDefault="00623888" w:rsidP="00623888">
            <w:pPr>
              <w:spacing w:after="0" w:line="240" w:lineRule="auto"/>
              <w:rPr>
                <w:rFonts w:ascii="Arial" w:eastAsia="Times New Roman" w:hAnsi="Arial" w:cs="Arial"/>
                <w:b/>
                <w:bCs/>
                <w:color w:val="000000"/>
                <w:sz w:val="18"/>
                <w:szCs w:val="18"/>
                <w:lang w:eastAsia="es-CR"/>
              </w:rPr>
            </w:pPr>
            <w:r w:rsidRPr="0035377E">
              <w:rPr>
                <w:rFonts w:ascii="Arial" w:eastAsia="Times New Roman" w:hAnsi="Arial" w:cs="Arial"/>
                <w:b/>
                <w:bCs/>
                <w:color w:val="000000"/>
                <w:sz w:val="18"/>
                <w:szCs w:val="18"/>
                <w:lang w:eastAsia="es-CR"/>
              </w:rPr>
              <w:t>Heredia</w:t>
            </w:r>
          </w:p>
        </w:tc>
        <w:tc>
          <w:tcPr>
            <w:tcW w:w="1572" w:type="dxa"/>
            <w:tcBorders>
              <w:top w:val="nil"/>
              <w:left w:val="nil"/>
              <w:bottom w:val="single" w:sz="4" w:space="0" w:color="auto"/>
              <w:right w:val="single" w:sz="4" w:space="0" w:color="auto"/>
            </w:tcBorders>
            <w:shd w:val="clear" w:color="auto" w:fill="auto"/>
            <w:vAlign w:val="bottom"/>
            <w:hideMark/>
          </w:tcPr>
          <w:p w:rsidR="00623888" w:rsidRPr="0035377E" w:rsidRDefault="00623888" w:rsidP="00623888">
            <w:pPr>
              <w:spacing w:after="0" w:line="240" w:lineRule="auto"/>
              <w:rPr>
                <w:rFonts w:ascii="Arial" w:eastAsia="Times New Roman" w:hAnsi="Arial" w:cs="Arial"/>
                <w:b/>
                <w:bCs/>
                <w:color w:val="000000"/>
                <w:sz w:val="18"/>
                <w:szCs w:val="18"/>
                <w:lang w:eastAsia="es-CR"/>
              </w:rPr>
            </w:pPr>
            <w:r w:rsidRPr="0035377E">
              <w:rPr>
                <w:rFonts w:ascii="Arial" w:eastAsia="Times New Roman" w:hAnsi="Arial" w:cs="Arial"/>
                <w:b/>
                <w:bCs/>
                <w:color w:val="000000"/>
                <w:sz w:val="18"/>
                <w:szCs w:val="18"/>
                <w:lang w:eastAsia="es-CR"/>
              </w:rPr>
              <w:t>7.395</w:t>
            </w:r>
          </w:p>
        </w:tc>
        <w:tc>
          <w:tcPr>
            <w:tcW w:w="1301" w:type="dxa"/>
            <w:tcBorders>
              <w:top w:val="nil"/>
              <w:left w:val="nil"/>
              <w:bottom w:val="single" w:sz="4" w:space="0" w:color="auto"/>
              <w:right w:val="single" w:sz="4" w:space="0" w:color="auto"/>
            </w:tcBorders>
            <w:shd w:val="clear" w:color="auto" w:fill="auto"/>
            <w:vAlign w:val="center"/>
            <w:hideMark/>
          </w:tcPr>
          <w:p w:rsidR="00623888" w:rsidRPr="0035377E" w:rsidRDefault="00623888" w:rsidP="00623888">
            <w:pPr>
              <w:spacing w:after="0" w:line="240" w:lineRule="auto"/>
              <w:rPr>
                <w:rFonts w:ascii="Arial" w:eastAsia="Times New Roman" w:hAnsi="Arial" w:cs="Arial"/>
                <w:b/>
                <w:bCs/>
                <w:color w:val="000000"/>
                <w:sz w:val="18"/>
                <w:szCs w:val="18"/>
                <w:lang w:eastAsia="es-CR"/>
              </w:rPr>
            </w:pPr>
            <w:r w:rsidRPr="0035377E">
              <w:rPr>
                <w:rFonts w:ascii="Arial" w:eastAsia="Times New Roman" w:hAnsi="Arial" w:cs="Arial"/>
                <w:b/>
                <w:bCs/>
                <w:color w:val="000000"/>
                <w:sz w:val="18"/>
                <w:szCs w:val="18"/>
                <w:lang w:eastAsia="es-CR"/>
              </w:rPr>
              <w:t>8.166</w:t>
            </w:r>
          </w:p>
        </w:tc>
        <w:tc>
          <w:tcPr>
            <w:tcW w:w="1407" w:type="dxa"/>
            <w:tcBorders>
              <w:top w:val="nil"/>
              <w:left w:val="nil"/>
              <w:bottom w:val="single" w:sz="4" w:space="0" w:color="auto"/>
              <w:right w:val="single" w:sz="4" w:space="0" w:color="auto"/>
            </w:tcBorders>
            <w:shd w:val="clear" w:color="auto" w:fill="auto"/>
            <w:vAlign w:val="center"/>
            <w:hideMark/>
          </w:tcPr>
          <w:p w:rsidR="00623888" w:rsidRPr="0035377E" w:rsidRDefault="00623888" w:rsidP="00623888">
            <w:pPr>
              <w:spacing w:after="0" w:line="240" w:lineRule="auto"/>
              <w:rPr>
                <w:rFonts w:ascii="Arial" w:eastAsia="Times New Roman" w:hAnsi="Arial" w:cs="Arial"/>
                <w:b/>
                <w:bCs/>
                <w:color w:val="000000"/>
                <w:sz w:val="18"/>
                <w:szCs w:val="18"/>
                <w:lang w:eastAsia="es-CR"/>
              </w:rPr>
            </w:pPr>
            <w:r w:rsidRPr="0035377E">
              <w:rPr>
                <w:rFonts w:ascii="Arial" w:eastAsia="Times New Roman" w:hAnsi="Arial" w:cs="Arial"/>
                <w:b/>
                <w:bCs/>
                <w:color w:val="000000"/>
                <w:sz w:val="18"/>
                <w:szCs w:val="18"/>
                <w:lang w:eastAsia="es-CR"/>
              </w:rPr>
              <w:t>772</w:t>
            </w:r>
          </w:p>
        </w:tc>
        <w:tc>
          <w:tcPr>
            <w:tcW w:w="1311" w:type="dxa"/>
            <w:tcBorders>
              <w:top w:val="nil"/>
              <w:left w:val="nil"/>
              <w:bottom w:val="single" w:sz="4" w:space="0" w:color="auto"/>
              <w:right w:val="single" w:sz="8" w:space="0" w:color="auto"/>
            </w:tcBorders>
            <w:shd w:val="clear" w:color="auto" w:fill="auto"/>
            <w:noWrap/>
            <w:vAlign w:val="bottom"/>
            <w:hideMark/>
          </w:tcPr>
          <w:p w:rsidR="00623888" w:rsidRPr="0035377E" w:rsidRDefault="00623888" w:rsidP="00623888">
            <w:pPr>
              <w:spacing w:after="0" w:line="240" w:lineRule="auto"/>
              <w:rPr>
                <w:rFonts w:ascii="Arial" w:eastAsia="Times New Roman" w:hAnsi="Arial" w:cs="Arial"/>
                <w:b/>
                <w:bCs/>
                <w:color w:val="000000"/>
                <w:sz w:val="18"/>
                <w:szCs w:val="18"/>
                <w:lang w:eastAsia="es-CR"/>
              </w:rPr>
            </w:pPr>
            <w:r w:rsidRPr="0035377E">
              <w:rPr>
                <w:rFonts w:ascii="Arial" w:eastAsia="Times New Roman" w:hAnsi="Arial" w:cs="Arial"/>
                <w:b/>
                <w:bCs/>
                <w:color w:val="000000"/>
                <w:sz w:val="18"/>
                <w:szCs w:val="18"/>
                <w:lang w:eastAsia="es-CR"/>
              </w:rPr>
              <w:t>10%</w:t>
            </w:r>
          </w:p>
        </w:tc>
      </w:tr>
      <w:tr w:rsidR="00623888" w:rsidRPr="0035377E" w:rsidTr="00BC1A0F">
        <w:trPr>
          <w:trHeight w:val="326"/>
          <w:jc w:val="center"/>
        </w:trPr>
        <w:tc>
          <w:tcPr>
            <w:tcW w:w="1331" w:type="dxa"/>
            <w:tcBorders>
              <w:top w:val="nil"/>
              <w:left w:val="single" w:sz="8" w:space="0" w:color="auto"/>
              <w:bottom w:val="single" w:sz="4" w:space="0" w:color="auto"/>
              <w:right w:val="single" w:sz="4" w:space="0" w:color="auto"/>
            </w:tcBorders>
            <w:shd w:val="clear" w:color="auto" w:fill="auto"/>
            <w:vAlign w:val="center"/>
            <w:hideMark/>
          </w:tcPr>
          <w:p w:rsidR="00623888" w:rsidRPr="0035377E" w:rsidRDefault="00623888" w:rsidP="00623888">
            <w:pPr>
              <w:spacing w:after="0" w:line="240" w:lineRule="auto"/>
              <w:rPr>
                <w:rFonts w:ascii="Arial" w:eastAsia="Times New Roman" w:hAnsi="Arial" w:cs="Arial"/>
                <w:b/>
                <w:bCs/>
                <w:color w:val="000000"/>
                <w:sz w:val="18"/>
                <w:szCs w:val="18"/>
                <w:lang w:eastAsia="es-CR"/>
              </w:rPr>
            </w:pPr>
            <w:r w:rsidRPr="0035377E">
              <w:rPr>
                <w:rFonts w:ascii="Arial" w:eastAsia="Times New Roman" w:hAnsi="Arial" w:cs="Arial"/>
                <w:b/>
                <w:bCs/>
                <w:color w:val="000000"/>
                <w:sz w:val="18"/>
                <w:szCs w:val="18"/>
                <w:lang w:eastAsia="es-CR"/>
              </w:rPr>
              <w:t>Cartago</w:t>
            </w:r>
          </w:p>
        </w:tc>
        <w:tc>
          <w:tcPr>
            <w:tcW w:w="1572" w:type="dxa"/>
            <w:tcBorders>
              <w:top w:val="nil"/>
              <w:left w:val="nil"/>
              <w:bottom w:val="single" w:sz="4" w:space="0" w:color="auto"/>
              <w:right w:val="single" w:sz="4" w:space="0" w:color="auto"/>
            </w:tcBorders>
            <w:shd w:val="clear" w:color="auto" w:fill="auto"/>
            <w:noWrap/>
            <w:vAlign w:val="bottom"/>
            <w:hideMark/>
          </w:tcPr>
          <w:p w:rsidR="00623888" w:rsidRPr="0035377E" w:rsidRDefault="00623888" w:rsidP="00623888">
            <w:pPr>
              <w:spacing w:after="0" w:line="240" w:lineRule="auto"/>
              <w:rPr>
                <w:rFonts w:ascii="Arial" w:eastAsia="Times New Roman" w:hAnsi="Arial" w:cs="Arial"/>
                <w:b/>
                <w:bCs/>
                <w:color w:val="000000"/>
                <w:sz w:val="18"/>
                <w:szCs w:val="18"/>
                <w:lang w:eastAsia="es-CR"/>
              </w:rPr>
            </w:pPr>
            <w:r w:rsidRPr="0035377E">
              <w:rPr>
                <w:rFonts w:ascii="Arial" w:eastAsia="Times New Roman" w:hAnsi="Arial" w:cs="Arial"/>
                <w:b/>
                <w:bCs/>
                <w:color w:val="000000"/>
                <w:sz w:val="18"/>
                <w:szCs w:val="18"/>
                <w:lang w:eastAsia="es-CR"/>
              </w:rPr>
              <w:t>5.142</w:t>
            </w:r>
          </w:p>
        </w:tc>
        <w:tc>
          <w:tcPr>
            <w:tcW w:w="1301" w:type="dxa"/>
            <w:tcBorders>
              <w:top w:val="nil"/>
              <w:left w:val="nil"/>
              <w:bottom w:val="single" w:sz="4" w:space="0" w:color="auto"/>
              <w:right w:val="single" w:sz="4" w:space="0" w:color="auto"/>
            </w:tcBorders>
            <w:shd w:val="clear" w:color="auto" w:fill="auto"/>
            <w:vAlign w:val="center"/>
            <w:hideMark/>
          </w:tcPr>
          <w:p w:rsidR="00623888" w:rsidRPr="0035377E" w:rsidRDefault="00623888" w:rsidP="00623888">
            <w:pPr>
              <w:spacing w:after="0" w:line="240" w:lineRule="auto"/>
              <w:rPr>
                <w:rFonts w:ascii="Arial" w:eastAsia="Times New Roman" w:hAnsi="Arial" w:cs="Arial"/>
                <w:b/>
                <w:bCs/>
                <w:color w:val="000000"/>
                <w:sz w:val="18"/>
                <w:szCs w:val="18"/>
                <w:lang w:eastAsia="es-CR"/>
              </w:rPr>
            </w:pPr>
            <w:r w:rsidRPr="0035377E">
              <w:rPr>
                <w:rFonts w:ascii="Arial" w:eastAsia="Times New Roman" w:hAnsi="Arial" w:cs="Arial"/>
                <w:b/>
                <w:bCs/>
                <w:color w:val="000000"/>
                <w:sz w:val="18"/>
                <w:szCs w:val="18"/>
                <w:lang w:eastAsia="es-CR"/>
              </w:rPr>
              <w:t>4.742</w:t>
            </w:r>
          </w:p>
        </w:tc>
        <w:tc>
          <w:tcPr>
            <w:tcW w:w="1407" w:type="dxa"/>
            <w:tcBorders>
              <w:top w:val="nil"/>
              <w:left w:val="nil"/>
              <w:bottom w:val="single" w:sz="4" w:space="0" w:color="auto"/>
              <w:right w:val="single" w:sz="4" w:space="0" w:color="auto"/>
            </w:tcBorders>
            <w:shd w:val="clear" w:color="auto" w:fill="auto"/>
            <w:vAlign w:val="center"/>
            <w:hideMark/>
          </w:tcPr>
          <w:p w:rsidR="00623888" w:rsidRPr="0035377E" w:rsidRDefault="00623888" w:rsidP="00623888">
            <w:pPr>
              <w:spacing w:after="0" w:line="240" w:lineRule="auto"/>
              <w:rPr>
                <w:rFonts w:ascii="Arial" w:eastAsia="Times New Roman" w:hAnsi="Arial" w:cs="Arial"/>
                <w:b/>
                <w:bCs/>
                <w:color w:val="000000"/>
                <w:sz w:val="18"/>
                <w:szCs w:val="18"/>
                <w:lang w:eastAsia="es-CR"/>
              </w:rPr>
            </w:pPr>
            <w:r w:rsidRPr="0035377E">
              <w:rPr>
                <w:rFonts w:ascii="Arial" w:eastAsia="Times New Roman" w:hAnsi="Arial" w:cs="Arial"/>
                <w:b/>
                <w:bCs/>
                <w:color w:val="000000"/>
                <w:sz w:val="18"/>
                <w:szCs w:val="18"/>
                <w:lang w:eastAsia="es-CR"/>
              </w:rPr>
              <w:t>-400</w:t>
            </w:r>
          </w:p>
        </w:tc>
        <w:tc>
          <w:tcPr>
            <w:tcW w:w="1311" w:type="dxa"/>
            <w:tcBorders>
              <w:top w:val="nil"/>
              <w:left w:val="nil"/>
              <w:bottom w:val="single" w:sz="4" w:space="0" w:color="auto"/>
              <w:right w:val="single" w:sz="8" w:space="0" w:color="auto"/>
            </w:tcBorders>
            <w:shd w:val="clear" w:color="auto" w:fill="auto"/>
            <w:noWrap/>
            <w:vAlign w:val="bottom"/>
            <w:hideMark/>
          </w:tcPr>
          <w:p w:rsidR="00623888" w:rsidRPr="0035377E" w:rsidRDefault="00623888" w:rsidP="00623888">
            <w:pPr>
              <w:spacing w:after="0" w:line="240" w:lineRule="auto"/>
              <w:rPr>
                <w:rFonts w:ascii="Arial" w:eastAsia="Times New Roman" w:hAnsi="Arial" w:cs="Arial"/>
                <w:b/>
                <w:bCs/>
                <w:color w:val="000000"/>
                <w:sz w:val="18"/>
                <w:szCs w:val="18"/>
                <w:lang w:eastAsia="es-CR"/>
              </w:rPr>
            </w:pPr>
            <w:r w:rsidRPr="0035377E">
              <w:rPr>
                <w:rFonts w:ascii="Arial" w:eastAsia="Times New Roman" w:hAnsi="Arial" w:cs="Arial"/>
                <w:b/>
                <w:bCs/>
                <w:color w:val="000000"/>
                <w:sz w:val="18"/>
                <w:szCs w:val="18"/>
                <w:lang w:eastAsia="es-CR"/>
              </w:rPr>
              <w:t>-8%</w:t>
            </w:r>
          </w:p>
        </w:tc>
      </w:tr>
      <w:tr w:rsidR="00623888" w:rsidRPr="0035377E" w:rsidTr="00BC1A0F">
        <w:trPr>
          <w:trHeight w:val="326"/>
          <w:jc w:val="center"/>
        </w:trPr>
        <w:tc>
          <w:tcPr>
            <w:tcW w:w="1331" w:type="dxa"/>
            <w:tcBorders>
              <w:top w:val="nil"/>
              <w:left w:val="single" w:sz="8" w:space="0" w:color="auto"/>
              <w:bottom w:val="single" w:sz="4" w:space="0" w:color="auto"/>
              <w:right w:val="single" w:sz="4" w:space="0" w:color="auto"/>
            </w:tcBorders>
            <w:shd w:val="clear" w:color="auto" w:fill="auto"/>
            <w:vAlign w:val="center"/>
            <w:hideMark/>
          </w:tcPr>
          <w:p w:rsidR="00623888" w:rsidRPr="0035377E" w:rsidRDefault="00623888" w:rsidP="00623888">
            <w:pPr>
              <w:spacing w:after="0" w:line="240" w:lineRule="auto"/>
              <w:rPr>
                <w:rFonts w:ascii="Arial" w:eastAsia="Times New Roman" w:hAnsi="Arial" w:cs="Arial"/>
                <w:b/>
                <w:bCs/>
                <w:color w:val="000000"/>
                <w:sz w:val="18"/>
                <w:szCs w:val="18"/>
                <w:lang w:eastAsia="es-CR"/>
              </w:rPr>
            </w:pPr>
            <w:r w:rsidRPr="0035377E">
              <w:rPr>
                <w:rFonts w:ascii="Arial" w:eastAsia="Times New Roman" w:hAnsi="Arial" w:cs="Arial"/>
                <w:b/>
                <w:bCs/>
                <w:color w:val="000000"/>
                <w:sz w:val="18"/>
                <w:szCs w:val="18"/>
                <w:lang w:eastAsia="es-CR"/>
              </w:rPr>
              <w:t>Alajuela</w:t>
            </w:r>
          </w:p>
        </w:tc>
        <w:tc>
          <w:tcPr>
            <w:tcW w:w="1572" w:type="dxa"/>
            <w:tcBorders>
              <w:top w:val="nil"/>
              <w:left w:val="nil"/>
              <w:bottom w:val="single" w:sz="4" w:space="0" w:color="auto"/>
              <w:right w:val="single" w:sz="4" w:space="0" w:color="auto"/>
            </w:tcBorders>
            <w:shd w:val="clear" w:color="auto" w:fill="auto"/>
            <w:noWrap/>
            <w:vAlign w:val="bottom"/>
            <w:hideMark/>
          </w:tcPr>
          <w:p w:rsidR="00623888" w:rsidRPr="0035377E" w:rsidRDefault="00623888" w:rsidP="00623888">
            <w:pPr>
              <w:spacing w:after="0" w:line="240" w:lineRule="auto"/>
              <w:rPr>
                <w:rFonts w:ascii="Arial" w:eastAsia="Times New Roman" w:hAnsi="Arial" w:cs="Arial"/>
                <w:b/>
                <w:bCs/>
                <w:color w:val="000000"/>
                <w:sz w:val="18"/>
                <w:szCs w:val="18"/>
                <w:lang w:eastAsia="es-CR"/>
              </w:rPr>
            </w:pPr>
            <w:r w:rsidRPr="0035377E">
              <w:rPr>
                <w:rFonts w:ascii="Arial" w:eastAsia="Times New Roman" w:hAnsi="Arial" w:cs="Arial"/>
                <w:b/>
                <w:bCs/>
                <w:color w:val="000000"/>
                <w:sz w:val="18"/>
                <w:szCs w:val="18"/>
                <w:lang w:eastAsia="es-CR"/>
              </w:rPr>
              <w:t>3.684</w:t>
            </w:r>
          </w:p>
        </w:tc>
        <w:tc>
          <w:tcPr>
            <w:tcW w:w="1301" w:type="dxa"/>
            <w:tcBorders>
              <w:top w:val="nil"/>
              <w:left w:val="nil"/>
              <w:bottom w:val="single" w:sz="4" w:space="0" w:color="auto"/>
              <w:right w:val="single" w:sz="4" w:space="0" w:color="auto"/>
            </w:tcBorders>
            <w:shd w:val="clear" w:color="auto" w:fill="auto"/>
            <w:vAlign w:val="center"/>
            <w:hideMark/>
          </w:tcPr>
          <w:p w:rsidR="00623888" w:rsidRPr="0035377E" w:rsidRDefault="00623888" w:rsidP="00623888">
            <w:pPr>
              <w:spacing w:after="0" w:line="240" w:lineRule="auto"/>
              <w:rPr>
                <w:rFonts w:ascii="Arial" w:eastAsia="Times New Roman" w:hAnsi="Arial" w:cs="Arial"/>
                <w:b/>
                <w:bCs/>
                <w:color w:val="000000"/>
                <w:sz w:val="18"/>
                <w:szCs w:val="18"/>
                <w:lang w:eastAsia="es-CR"/>
              </w:rPr>
            </w:pPr>
            <w:r w:rsidRPr="0035377E">
              <w:rPr>
                <w:rFonts w:ascii="Arial" w:eastAsia="Times New Roman" w:hAnsi="Arial" w:cs="Arial"/>
                <w:b/>
                <w:bCs/>
                <w:color w:val="000000"/>
                <w:sz w:val="18"/>
                <w:szCs w:val="18"/>
                <w:lang w:eastAsia="es-CR"/>
              </w:rPr>
              <w:t>4.397</w:t>
            </w:r>
          </w:p>
        </w:tc>
        <w:tc>
          <w:tcPr>
            <w:tcW w:w="1407" w:type="dxa"/>
            <w:tcBorders>
              <w:top w:val="nil"/>
              <w:left w:val="nil"/>
              <w:bottom w:val="single" w:sz="4" w:space="0" w:color="auto"/>
              <w:right w:val="single" w:sz="4" w:space="0" w:color="auto"/>
            </w:tcBorders>
            <w:shd w:val="clear" w:color="auto" w:fill="auto"/>
            <w:vAlign w:val="center"/>
            <w:hideMark/>
          </w:tcPr>
          <w:p w:rsidR="00623888" w:rsidRPr="0035377E" w:rsidRDefault="00623888" w:rsidP="00623888">
            <w:pPr>
              <w:spacing w:after="0" w:line="240" w:lineRule="auto"/>
              <w:rPr>
                <w:rFonts w:ascii="Arial" w:eastAsia="Times New Roman" w:hAnsi="Arial" w:cs="Arial"/>
                <w:b/>
                <w:bCs/>
                <w:color w:val="000000"/>
                <w:sz w:val="18"/>
                <w:szCs w:val="18"/>
                <w:lang w:eastAsia="es-CR"/>
              </w:rPr>
            </w:pPr>
            <w:r w:rsidRPr="0035377E">
              <w:rPr>
                <w:rFonts w:ascii="Arial" w:eastAsia="Times New Roman" w:hAnsi="Arial" w:cs="Arial"/>
                <w:b/>
                <w:bCs/>
                <w:color w:val="000000"/>
                <w:sz w:val="18"/>
                <w:szCs w:val="18"/>
                <w:lang w:eastAsia="es-CR"/>
              </w:rPr>
              <w:t>713</w:t>
            </w:r>
          </w:p>
        </w:tc>
        <w:tc>
          <w:tcPr>
            <w:tcW w:w="1311" w:type="dxa"/>
            <w:tcBorders>
              <w:top w:val="nil"/>
              <w:left w:val="nil"/>
              <w:bottom w:val="single" w:sz="4" w:space="0" w:color="auto"/>
              <w:right w:val="single" w:sz="8" w:space="0" w:color="auto"/>
            </w:tcBorders>
            <w:shd w:val="clear" w:color="auto" w:fill="auto"/>
            <w:noWrap/>
            <w:vAlign w:val="bottom"/>
            <w:hideMark/>
          </w:tcPr>
          <w:p w:rsidR="00623888" w:rsidRPr="0035377E" w:rsidRDefault="00623888" w:rsidP="00623888">
            <w:pPr>
              <w:spacing w:after="0" w:line="240" w:lineRule="auto"/>
              <w:rPr>
                <w:rFonts w:ascii="Arial" w:eastAsia="Times New Roman" w:hAnsi="Arial" w:cs="Arial"/>
                <w:b/>
                <w:bCs/>
                <w:color w:val="000000"/>
                <w:sz w:val="18"/>
                <w:szCs w:val="18"/>
                <w:lang w:eastAsia="es-CR"/>
              </w:rPr>
            </w:pPr>
            <w:r w:rsidRPr="0035377E">
              <w:rPr>
                <w:rFonts w:ascii="Arial" w:eastAsia="Times New Roman" w:hAnsi="Arial" w:cs="Arial"/>
                <w:b/>
                <w:bCs/>
                <w:color w:val="000000"/>
                <w:sz w:val="18"/>
                <w:szCs w:val="18"/>
                <w:lang w:eastAsia="es-CR"/>
              </w:rPr>
              <w:t>19%</w:t>
            </w:r>
          </w:p>
        </w:tc>
      </w:tr>
      <w:tr w:rsidR="00623888" w:rsidRPr="0035377E" w:rsidTr="00BC1A0F">
        <w:trPr>
          <w:trHeight w:val="326"/>
          <w:jc w:val="center"/>
        </w:trPr>
        <w:tc>
          <w:tcPr>
            <w:tcW w:w="1331" w:type="dxa"/>
            <w:tcBorders>
              <w:top w:val="nil"/>
              <w:left w:val="single" w:sz="8" w:space="0" w:color="auto"/>
              <w:bottom w:val="single" w:sz="4" w:space="0" w:color="auto"/>
              <w:right w:val="single" w:sz="4" w:space="0" w:color="auto"/>
            </w:tcBorders>
            <w:shd w:val="clear" w:color="auto" w:fill="auto"/>
            <w:vAlign w:val="center"/>
            <w:hideMark/>
          </w:tcPr>
          <w:p w:rsidR="00623888" w:rsidRPr="0035377E" w:rsidRDefault="00623888" w:rsidP="00623888">
            <w:pPr>
              <w:spacing w:after="0" w:line="240" w:lineRule="auto"/>
              <w:rPr>
                <w:rFonts w:ascii="Arial" w:eastAsia="Times New Roman" w:hAnsi="Arial" w:cs="Arial"/>
                <w:b/>
                <w:bCs/>
                <w:color w:val="000000"/>
                <w:sz w:val="18"/>
                <w:szCs w:val="18"/>
                <w:lang w:eastAsia="es-CR"/>
              </w:rPr>
            </w:pPr>
            <w:r w:rsidRPr="0035377E">
              <w:rPr>
                <w:rFonts w:ascii="Arial" w:eastAsia="Times New Roman" w:hAnsi="Arial" w:cs="Arial"/>
                <w:b/>
                <w:bCs/>
                <w:color w:val="000000"/>
                <w:sz w:val="18"/>
                <w:szCs w:val="18"/>
                <w:lang w:eastAsia="es-CR"/>
              </w:rPr>
              <w:t>Puntarenas</w:t>
            </w:r>
          </w:p>
        </w:tc>
        <w:tc>
          <w:tcPr>
            <w:tcW w:w="1572" w:type="dxa"/>
            <w:tcBorders>
              <w:top w:val="nil"/>
              <w:left w:val="nil"/>
              <w:bottom w:val="single" w:sz="4" w:space="0" w:color="auto"/>
              <w:right w:val="single" w:sz="4" w:space="0" w:color="auto"/>
            </w:tcBorders>
            <w:shd w:val="clear" w:color="auto" w:fill="auto"/>
            <w:noWrap/>
            <w:vAlign w:val="bottom"/>
            <w:hideMark/>
          </w:tcPr>
          <w:p w:rsidR="00623888" w:rsidRPr="0035377E" w:rsidRDefault="00623888" w:rsidP="00623888">
            <w:pPr>
              <w:spacing w:after="0" w:line="240" w:lineRule="auto"/>
              <w:rPr>
                <w:rFonts w:ascii="Arial" w:eastAsia="Times New Roman" w:hAnsi="Arial" w:cs="Arial"/>
                <w:b/>
                <w:bCs/>
                <w:color w:val="000000"/>
                <w:sz w:val="18"/>
                <w:szCs w:val="18"/>
                <w:lang w:eastAsia="es-CR"/>
              </w:rPr>
            </w:pPr>
            <w:r w:rsidRPr="0035377E">
              <w:rPr>
                <w:rFonts w:ascii="Arial" w:eastAsia="Times New Roman" w:hAnsi="Arial" w:cs="Arial"/>
                <w:b/>
                <w:bCs/>
                <w:color w:val="000000"/>
                <w:sz w:val="18"/>
                <w:szCs w:val="18"/>
                <w:lang w:eastAsia="es-CR"/>
              </w:rPr>
              <w:t>511</w:t>
            </w:r>
          </w:p>
        </w:tc>
        <w:tc>
          <w:tcPr>
            <w:tcW w:w="1301" w:type="dxa"/>
            <w:tcBorders>
              <w:top w:val="nil"/>
              <w:left w:val="nil"/>
              <w:bottom w:val="single" w:sz="4" w:space="0" w:color="auto"/>
              <w:right w:val="single" w:sz="4" w:space="0" w:color="auto"/>
            </w:tcBorders>
            <w:shd w:val="clear" w:color="auto" w:fill="auto"/>
            <w:vAlign w:val="center"/>
            <w:hideMark/>
          </w:tcPr>
          <w:p w:rsidR="00623888" w:rsidRPr="0035377E" w:rsidRDefault="00623888" w:rsidP="00623888">
            <w:pPr>
              <w:spacing w:after="0" w:line="240" w:lineRule="auto"/>
              <w:rPr>
                <w:rFonts w:ascii="Arial" w:eastAsia="Times New Roman" w:hAnsi="Arial" w:cs="Arial"/>
                <w:b/>
                <w:bCs/>
                <w:color w:val="000000"/>
                <w:sz w:val="18"/>
                <w:szCs w:val="18"/>
                <w:lang w:eastAsia="es-CR"/>
              </w:rPr>
            </w:pPr>
            <w:r w:rsidRPr="0035377E">
              <w:rPr>
                <w:rFonts w:ascii="Arial" w:eastAsia="Times New Roman" w:hAnsi="Arial" w:cs="Arial"/>
                <w:b/>
                <w:bCs/>
                <w:color w:val="000000"/>
                <w:sz w:val="18"/>
                <w:szCs w:val="18"/>
                <w:lang w:eastAsia="es-CR"/>
              </w:rPr>
              <w:t>760</w:t>
            </w:r>
          </w:p>
        </w:tc>
        <w:tc>
          <w:tcPr>
            <w:tcW w:w="1407" w:type="dxa"/>
            <w:tcBorders>
              <w:top w:val="nil"/>
              <w:left w:val="nil"/>
              <w:bottom w:val="single" w:sz="4" w:space="0" w:color="auto"/>
              <w:right w:val="single" w:sz="4" w:space="0" w:color="auto"/>
            </w:tcBorders>
            <w:shd w:val="clear" w:color="auto" w:fill="auto"/>
            <w:vAlign w:val="center"/>
            <w:hideMark/>
          </w:tcPr>
          <w:p w:rsidR="00623888" w:rsidRPr="0035377E" w:rsidRDefault="00623888" w:rsidP="00623888">
            <w:pPr>
              <w:spacing w:after="0" w:line="240" w:lineRule="auto"/>
              <w:rPr>
                <w:rFonts w:ascii="Arial" w:eastAsia="Times New Roman" w:hAnsi="Arial" w:cs="Arial"/>
                <w:b/>
                <w:bCs/>
                <w:color w:val="000000"/>
                <w:sz w:val="18"/>
                <w:szCs w:val="18"/>
                <w:lang w:eastAsia="es-CR"/>
              </w:rPr>
            </w:pPr>
            <w:r w:rsidRPr="0035377E">
              <w:rPr>
                <w:rFonts w:ascii="Arial" w:eastAsia="Times New Roman" w:hAnsi="Arial" w:cs="Arial"/>
                <w:b/>
                <w:bCs/>
                <w:color w:val="000000"/>
                <w:sz w:val="18"/>
                <w:szCs w:val="18"/>
                <w:lang w:eastAsia="es-CR"/>
              </w:rPr>
              <w:t>249</w:t>
            </w:r>
          </w:p>
        </w:tc>
        <w:tc>
          <w:tcPr>
            <w:tcW w:w="1311" w:type="dxa"/>
            <w:tcBorders>
              <w:top w:val="nil"/>
              <w:left w:val="nil"/>
              <w:bottom w:val="single" w:sz="4" w:space="0" w:color="auto"/>
              <w:right w:val="single" w:sz="8" w:space="0" w:color="auto"/>
            </w:tcBorders>
            <w:shd w:val="clear" w:color="auto" w:fill="auto"/>
            <w:noWrap/>
            <w:vAlign w:val="bottom"/>
            <w:hideMark/>
          </w:tcPr>
          <w:p w:rsidR="00623888" w:rsidRPr="0035377E" w:rsidRDefault="00623888" w:rsidP="00623888">
            <w:pPr>
              <w:spacing w:after="0" w:line="240" w:lineRule="auto"/>
              <w:rPr>
                <w:rFonts w:ascii="Arial" w:eastAsia="Times New Roman" w:hAnsi="Arial" w:cs="Arial"/>
                <w:b/>
                <w:bCs/>
                <w:color w:val="000000"/>
                <w:sz w:val="18"/>
                <w:szCs w:val="18"/>
                <w:lang w:eastAsia="es-CR"/>
              </w:rPr>
            </w:pPr>
            <w:r w:rsidRPr="0035377E">
              <w:rPr>
                <w:rFonts w:ascii="Arial" w:eastAsia="Times New Roman" w:hAnsi="Arial" w:cs="Arial"/>
                <w:b/>
                <w:bCs/>
                <w:color w:val="000000"/>
                <w:sz w:val="18"/>
                <w:szCs w:val="18"/>
                <w:lang w:eastAsia="es-CR"/>
              </w:rPr>
              <w:t>49%</w:t>
            </w:r>
          </w:p>
        </w:tc>
      </w:tr>
      <w:tr w:rsidR="00623888" w:rsidRPr="0035377E" w:rsidTr="00BC1A0F">
        <w:trPr>
          <w:trHeight w:val="326"/>
          <w:jc w:val="center"/>
        </w:trPr>
        <w:tc>
          <w:tcPr>
            <w:tcW w:w="1331" w:type="dxa"/>
            <w:tcBorders>
              <w:top w:val="nil"/>
              <w:left w:val="single" w:sz="8" w:space="0" w:color="auto"/>
              <w:bottom w:val="single" w:sz="4" w:space="0" w:color="auto"/>
              <w:right w:val="single" w:sz="4" w:space="0" w:color="auto"/>
            </w:tcBorders>
            <w:shd w:val="clear" w:color="auto" w:fill="auto"/>
            <w:vAlign w:val="center"/>
            <w:hideMark/>
          </w:tcPr>
          <w:p w:rsidR="00623888" w:rsidRPr="0035377E" w:rsidRDefault="00623888" w:rsidP="00623888">
            <w:pPr>
              <w:spacing w:after="0" w:line="240" w:lineRule="auto"/>
              <w:rPr>
                <w:rFonts w:ascii="Arial" w:eastAsia="Times New Roman" w:hAnsi="Arial" w:cs="Arial"/>
                <w:b/>
                <w:bCs/>
                <w:color w:val="000000"/>
                <w:sz w:val="18"/>
                <w:szCs w:val="18"/>
                <w:lang w:eastAsia="es-CR"/>
              </w:rPr>
            </w:pPr>
            <w:r w:rsidRPr="0035377E">
              <w:rPr>
                <w:rFonts w:ascii="Arial" w:eastAsia="Times New Roman" w:hAnsi="Arial" w:cs="Arial"/>
                <w:b/>
                <w:bCs/>
                <w:color w:val="000000"/>
                <w:sz w:val="18"/>
                <w:szCs w:val="18"/>
                <w:lang w:eastAsia="es-CR"/>
              </w:rPr>
              <w:t>Limón</w:t>
            </w:r>
          </w:p>
        </w:tc>
        <w:tc>
          <w:tcPr>
            <w:tcW w:w="1572" w:type="dxa"/>
            <w:tcBorders>
              <w:top w:val="nil"/>
              <w:left w:val="nil"/>
              <w:bottom w:val="single" w:sz="4" w:space="0" w:color="auto"/>
              <w:right w:val="single" w:sz="4" w:space="0" w:color="auto"/>
            </w:tcBorders>
            <w:shd w:val="clear" w:color="auto" w:fill="auto"/>
            <w:noWrap/>
            <w:vAlign w:val="bottom"/>
            <w:hideMark/>
          </w:tcPr>
          <w:p w:rsidR="00623888" w:rsidRPr="0035377E" w:rsidRDefault="00623888" w:rsidP="00623888">
            <w:pPr>
              <w:spacing w:after="0" w:line="240" w:lineRule="auto"/>
              <w:rPr>
                <w:rFonts w:ascii="Arial" w:eastAsia="Times New Roman" w:hAnsi="Arial" w:cs="Arial"/>
                <w:b/>
                <w:bCs/>
                <w:color w:val="000000"/>
                <w:sz w:val="18"/>
                <w:szCs w:val="18"/>
                <w:lang w:eastAsia="es-CR"/>
              </w:rPr>
            </w:pPr>
            <w:r w:rsidRPr="0035377E">
              <w:rPr>
                <w:rFonts w:ascii="Arial" w:eastAsia="Times New Roman" w:hAnsi="Arial" w:cs="Arial"/>
                <w:b/>
                <w:bCs/>
                <w:color w:val="000000"/>
                <w:sz w:val="18"/>
                <w:szCs w:val="18"/>
                <w:lang w:eastAsia="es-CR"/>
              </w:rPr>
              <w:t>347</w:t>
            </w:r>
          </w:p>
        </w:tc>
        <w:tc>
          <w:tcPr>
            <w:tcW w:w="1301" w:type="dxa"/>
            <w:tcBorders>
              <w:top w:val="nil"/>
              <w:left w:val="nil"/>
              <w:bottom w:val="single" w:sz="4" w:space="0" w:color="auto"/>
              <w:right w:val="single" w:sz="4" w:space="0" w:color="auto"/>
            </w:tcBorders>
            <w:shd w:val="clear" w:color="auto" w:fill="auto"/>
            <w:vAlign w:val="center"/>
            <w:hideMark/>
          </w:tcPr>
          <w:p w:rsidR="00623888" w:rsidRPr="0035377E" w:rsidRDefault="00623888" w:rsidP="00623888">
            <w:pPr>
              <w:spacing w:after="0" w:line="240" w:lineRule="auto"/>
              <w:rPr>
                <w:rFonts w:ascii="Arial" w:eastAsia="Times New Roman" w:hAnsi="Arial" w:cs="Arial"/>
                <w:b/>
                <w:bCs/>
                <w:color w:val="000000"/>
                <w:sz w:val="18"/>
                <w:szCs w:val="18"/>
                <w:lang w:eastAsia="es-CR"/>
              </w:rPr>
            </w:pPr>
            <w:r w:rsidRPr="0035377E">
              <w:rPr>
                <w:rFonts w:ascii="Arial" w:eastAsia="Times New Roman" w:hAnsi="Arial" w:cs="Arial"/>
                <w:b/>
                <w:bCs/>
                <w:color w:val="000000"/>
                <w:sz w:val="18"/>
                <w:szCs w:val="18"/>
                <w:lang w:eastAsia="es-CR"/>
              </w:rPr>
              <w:t>360</w:t>
            </w:r>
          </w:p>
        </w:tc>
        <w:tc>
          <w:tcPr>
            <w:tcW w:w="1407" w:type="dxa"/>
            <w:tcBorders>
              <w:top w:val="nil"/>
              <w:left w:val="nil"/>
              <w:bottom w:val="single" w:sz="4" w:space="0" w:color="auto"/>
              <w:right w:val="single" w:sz="4" w:space="0" w:color="auto"/>
            </w:tcBorders>
            <w:shd w:val="clear" w:color="auto" w:fill="auto"/>
            <w:vAlign w:val="center"/>
            <w:hideMark/>
          </w:tcPr>
          <w:p w:rsidR="00623888" w:rsidRPr="0035377E" w:rsidRDefault="00623888" w:rsidP="00623888">
            <w:pPr>
              <w:spacing w:after="0" w:line="240" w:lineRule="auto"/>
              <w:rPr>
                <w:rFonts w:ascii="Arial" w:eastAsia="Times New Roman" w:hAnsi="Arial" w:cs="Arial"/>
                <w:b/>
                <w:bCs/>
                <w:color w:val="000000"/>
                <w:sz w:val="18"/>
                <w:szCs w:val="18"/>
                <w:lang w:eastAsia="es-CR"/>
              </w:rPr>
            </w:pPr>
            <w:r w:rsidRPr="0035377E">
              <w:rPr>
                <w:rFonts w:ascii="Arial" w:eastAsia="Times New Roman" w:hAnsi="Arial" w:cs="Arial"/>
                <w:b/>
                <w:bCs/>
                <w:color w:val="000000"/>
                <w:sz w:val="18"/>
                <w:szCs w:val="18"/>
                <w:lang w:eastAsia="es-CR"/>
              </w:rPr>
              <w:t>13</w:t>
            </w:r>
          </w:p>
        </w:tc>
        <w:tc>
          <w:tcPr>
            <w:tcW w:w="1311" w:type="dxa"/>
            <w:tcBorders>
              <w:top w:val="nil"/>
              <w:left w:val="nil"/>
              <w:bottom w:val="single" w:sz="4" w:space="0" w:color="auto"/>
              <w:right w:val="single" w:sz="8" w:space="0" w:color="auto"/>
            </w:tcBorders>
            <w:shd w:val="clear" w:color="auto" w:fill="auto"/>
            <w:noWrap/>
            <w:vAlign w:val="bottom"/>
            <w:hideMark/>
          </w:tcPr>
          <w:p w:rsidR="00623888" w:rsidRPr="0035377E" w:rsidRDefault="00623888" w:rsidP="00623888">
            <w:pPr>
              <w:spacing w:after="0" w:line="240" w:lineRule="auto"/>
              <w:rPr>
                <w:rFonts w:ascii="Arial" w:eastAsia="Times New Roman" w:hAnsi="Arial" w:cs="Arial"/>
                <w:b/>
                <w:bCs/>
                <w:color w:val="000000"/>
                <w:sz w:val="18"/>
                <w:szCs w:val="18"/>
                <w:lang w:eastAsia="es-CR"/>
              </w:rPr>
            </w:pPr>
            <w:r w:rsidRPr="0035377E">
              <w:rPr>
                <w:rFonts w:ascii="Arial" w:eastAsia="Times New Roman" w:hAnsi="Arial" w:cs="Arial"/>
                <w:b/>
                <w:bCs/>
                <w:color w:val="000000"/>
                <w:sz w:val="18"/>
                <w:szCs w:val="18"/>
                <w:lang w:eastAsia="es-CR"/>
              </w:rPr>
              <w:t>4%</w:t>
            </w:r>
          </w:p>
        </w:tc>
      </w:tr>
      <w:tr w:rsidR="00623888" w:rsidRPr="0035377E" w:rsidTr="00BC1A0F">
        <w:trPr>
          <w:trHeight w:val="342"/>
          <w:jc w:val="center"/>
        </w:trPr>
        <w:tc>
          <w:tcPr>
            <w:tcW w:w="1331" w:type="dxa"/>
            <w:tcBorders>
              <w:top w:val="nil"/>
              <w:left w:val="single" w:sz="8" w:space="0" w:color="auto"/>
              <w:bottom w:val="nil"/>
              <w:right w:val="single" w:sz="4" w:space="0" w:color="auto"/>
            </w:tcBorders>
            <w:shd w:val="clear" w:color="auto" w:fill="auto"/>
            <w:vAlign w:val="center"/>
            <w:hideMark/>
          </w:tcPr>
          <w:p w:rsidR="00623888" w:rsidRPr="0035377E" w:rsidRDefault="00623888" w:rsidP="00623888">
            <w:pPr>
              <w:spacing w:after="0" w:line="240" w:lineRule="auto"/>
              <w:rPr>
                <w:rFonts w:ascii="Arial" w:eastAsia="Times New Roman" w:hAnsi="Arial" w:cs="Arial"/>
                <w:b/>
                <w:bCs/>
                <w:color w:val="000000"/>
                <w:sz w:val="18"/>
                <w:szCs w:val="18"/>
                <w:lang w:eastAsia="es-CR"/>
              </w:rPr>
            </w:pPr>
            <w:r w:rsidRPr="0035377E">
              <w:rPr>
                <w:rFonts w:ascii="Arial" w:eastAsia="Times New Roman" w:hAnsi="Arial" w:cs="Arial"/>
                <w:b/>
                <w:bCs/>
                <w:color w:val="000000"/>
                <w:sz w:val="18"/>
                <w:szCs w:val="18"/>
                <w:lang w:eastAsia="es-CR"/>
              </w:rPr>
              <w:t>Guanacaste</w:t>
            </w:r>
          </w:p>
        </w:tc>
        <w:tc>
          <w:tcPr>
            <w:tcW w:w="1572" w:type="dxa"/>
            <w:tcBorders>
              <w:top w:val="nil"/>
              <w:left w:val="nil"/>
              <w:bottom w:val="nil"/>
              <w:right w:val="single" w:sz="4" w:space="0" w:color="auto"/>
            </w:tcBorders>
            <w:shd w:val="clear" w:color="auto" w:fill="auto"/>
            <w:vAlign w:val="center"/>
            <w:hideMark/>
          </w:tcPr>
          <w:p w:rsidR="00623888" w:rsidRPr="0035377E" w:rsidRDefault="00623888" w:rsidP="00623888">
            <w:pPr>
              <w:spacing w:after="0" w:line="240" w:lineRule="auto"/>
              <w:rPr>
                <w:rFonts w:ascii="Arial" w:eastAsia="Times New Roman" w:hAnsi="Arial" w:cs="Arial"/>
                <w:b/>
                <w:bCs/>
                <w:color w:val="000000"/>
                <w:sz w:val="18"/>
                <w:szCs w:val="18"/>
                <w:lang w:eastAsia="es-CR"/>
              </w:rPr>
            </w:pPr>
            <w:r w:rsidRPr="0035377E">
              <w:rPr>
                <w:rFonts w:ascii="Arial" w:eastAsia="Times New Roman" w:hAnsi="Arial" w:cs="Arial"/>
                <w:b/>
                <w:bCs/>
                <w:color w:val="000000"/>
                <w:sz w:val="18"/>
                <w:szCs w:val="18"/>
                <w:lang w:eastAsia="es-CR"/>
              </w:rPr>
              <w:t>735</w:t>
            </w:r>
          </w:p>
        </w:tc>
        <w:tc>
          <w:tcPr>
            <w:tcW w:w="1301" w:type="dxa"/>
            <w:tcBorders>
              <w:top w:val="nil"/>
              <w:left w:val="nil"/>
              <w:bottom w:val="nil"/>
              <w:right w:val="single" w:sz="4" w:space="0" w:color="auto"/>
            </w:tcBorders>
            <w:shd w:val="clear" w:color="auto" w:fill="auto"/>
            <w:vAlign w:val="center"/>
            <w:hideMark/>
          </w:tcPr>
          <w:p w:rsidR="00623888" w:rsidRPr="0035377E" w:rsidRDefault="00623888" w:rsidP="00623888">
            <w:pPr>
              <w:spacing w:after="0" w:line="240" w:lineRule="auto"/>
              <w:rPr>
                <w:rFonts w:ascii="Arial" w:eastAsia="Times New Roman" w:hAnsi="Arial" w:cs="Arial"/>
                <w:b/>
                <w:bCs/>
                <w:color w:val="000000"/>
                <w:sz w:val="18"/>
                <w:szCs w:val="18"/>
                <w:lang w:eastAsia="es-CR"/>
              </w:rPr>
            </w:pPr>
            <w:r w:rsidRPr="0035377E">
              <w:rPr>
                <w:rFonts w:ascii="Arial" w:eastAsia="Times New Roman" w:hAnsi="Arial" w:cs="Arial"/>
                <w:b/>
                <w:bCs/>
                <w:color w:val="000000"/>
                <w:sz w:val="18"/>
                <w:szCs w:val="18"/>
                <w:lang w:eastAsia="es-CR"/>
              </w:rPr>
              <w:t>350</w:t>
            </w:r>
          </w:p>
        </w:tc>
        <w:tc>
          <w:tcPr>
            <w:tcW w:w="1407" w:type="dxa"/>
            <w:tcBorders>
              <w:top w:val="nil"/>
              <w:left w:val="nil"/>
              <w:bottom w:val="nil"/>
              <w:right w:val="single" w:sz="4" w:space="0" w:color="auto"/>
            </w:tcBorders>
            <w:shd w:val="clear" w:color="auto" w:fill="auto"/>
            <w:vAlign w:val="center"/>
            <w:hideMark/>
          </w:tcPr>
          <w:p w:rsidR="00623888" w:rsidRPr="0035377E" w:rsidRDefault="00623888" w:rsidP="00623888">
            <w:pPr>
              <w:spacing w:after="0" w:line="240" w:lineRule="auto"/>
              <w:rPr>
                <w:rFonts w:ascii="Arial" w:eastAsia="Times New Roman" w:hAnsi="Arial" w:cs="Arial"/>
                <w:b/>
                <w:bCs/>
                <w:color w:val="000000"/>
                <w:sz w:val="18"/>
                <w:szCs w:val="18"/>
                <w:lang w:eastAsia="es-CR"/>
              </w:rPr>
            </w:pPr>
            <w:r w:rsidRPr="0035377E">
              <w:rPr>
                <w:rFonts w:ascii="Arial" w:eastAsia="Times New Roman" w:hAnsi="Arial" w:cs="Arial"/>
                <w:b/>
                <w:bCs/>
                <w:color w:val="000000"/>
                <w:sz w:val="18"/>
                <w:szCs w:val="18"/>
                <w:lang w:eastAsia="es-CR"/>
              </w:rPr>
              <w:t>-385</w:t>
            </w:r>
          </w:p>
        </w:tc>
        <w:tc>
          <w:tcPr>
            <w:tcW w:w="1311" w:type="dxa"/>
            <w:tcBorders>
              <w:top w:val="nil"/>
              <w:left w:val="nil"/>
              <w:bottom w:val="nil"/>
              <w:right w:val="single" w:sz="8" w:space="0" w:color="auto"/>
            </w:tcBorders>
            <w:shd w:val="clear" w:color="auto" w:fill="auto"/>
            <w:noWrap/>
            <w:vAlign w:val="bottom"/>
            <w:hideMark/>
          </w:tcPr>
          <w:p w:rsidR="00623888" w:rsidRPr="0035377E" w:rsidRDefault="00623888" w:rsidP="00623888">
            <w:pPr>
              <w:spacing w:after="0" w:line="240" w:lineRule="auto"/>
              <w:rPr>
                <w:rFonts w:ascii="Arial" w:eastAsia="Times New Roman" w:hAnsi="Arial" w:cs="Arial"/>
                <w:b/>
                <w:bCs/>
                <w:color w:val="000000"/>
                <w:sz w:val="18"/>
                <w:szCs w:val="18"/>
                <w:lang w:eastAsia="es-CR"/>
              </w:rPr>
            </w:pPr>
            <w:r w:rsidRPr="0035377E">
              <w:rPr>
                <w:rFonts w:ascii="Arial" w:eastAsia="Times New Roman" w:hAnsi="Arial" w:cs="Arial"/>
                <w:b/>
                <w:bCs/>
                <w:color w:val="000000"/>
                <w:sz w:val="18"/>
                <w:szCs w:val="18"/>
                <w:lang w:eastAsia="es-CR"/>
              </w:rPr>
              <w:t>-52%</w:t>
            </w:r>
          </w:p>
        </w:tc>
      </w:tr>
      <w:tr w:rsidR="00623888" w:rsidRPr="0035377E" w:rsidTr="00BC1A0F">
        <w:trPr>
          <w:trHeight w:val="342"/>
          <w:jc w:val="center"/>
        </w:trPr>
        <w:tc>
          <w:tcPr>
            <w:tcW w:w="1331"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623888" w:rsidRPr="0035377E" w:rsidRDefault="00623888" w:rsidP="00623888">
            <w:pPr>
              <w:spacing w:after="0" w:line="240" w:lineRule="auto"/>
              <w:rPr>
                <w:rFonts w:ascii="Arial" w:eastAsia="Times New Roman" w:hAnsi="Arial" w:cs="Arial"/>
                <w:b/>
                <w:bCs/>
                <w:color w:val="000000"/>
                <w:sz w:val="18"/>
                <w:szCs w:val="18"/>
                <w:lang w:eastAsia="es-CR"/>
              </w:rPr>
            </w:pPr>
            <w:r w:rsidRPr="0035377E">
              <w:rPr>
                <w:rFonts w:ascii="Arial" w:eastAsia="Times New Roman" w:hAnsi="Arial" w:cs="Arial"/>
                <w:b/>
                <w:bCs/>
                <w:color w:val="000000"/>
                <w:sz w:val="18"/>
                <w:szCs w:val="18"/>
                <w:lang w:eastAsia="es-CR"/>
              </w:rPr>
              <w:t>Total</w:t>
            </w:r>
          </w:p>
        </w:tc>
        <w:tc>
          <w:tcPr>
            <w:tcW w:w="1572" w:type="dxa"/>
            <w:tcBorders>
              <w:top w:val="single" w:sz="8" w:space="0" w:color="auto"/>
              <w:left w:val="nil"/>
              <w:bottom w:val="single" w:sz="8" w:space="0" w:color="auto"/>
              <w:right w:val="single" w:sz="4" w:space="0" w:color="auto"/>
            </w:tcBorders>
            <w:shd w:val="clear" w:color="auto" w:fill="auto"/>
            <w:vAlign w:val="center"/>
            <w:hideMark/>
          </w:tcPr>
          <w:p w:rsidR="00623888" w:rsidRPr="0035377E" w:rsidRDefault="00623888" w:rsidP="00623888">
            <w:pPr>
              <w:spacing w:after="0" w:line="240" w:lineRule="auto"/>
              <w:rPr>
                <w:rFonts w:ascii="Arial" w:eastAsia="Times New Roman" w:hAnsi="Arial" w:cs="Arial"/>
                <w:b/>
                <w:bCs/>
                <w:color w:val="000000"/>
                <w:sz w:val="18"/>
                <w:szCs w:val="18"/>
                <w:lang w:eastAsia="es-CR"/>
              </w:rPr>
            </w:pPr>
            <w:r w:rsidRPr="0035377E">
              <w:rPr>
                <w:rFonts w:ascii="Arial" w:eastAsia="Times New Roman" w:hAnsi="Arial" w:cs="Arial"/>
                <w:b/>
                <w:bCs/>
                <w:color w:val="000000"/>
                <w:sz w:val="18"/>
                <w:szCs w:val="18"/>
                <w:lang w:eastAsia="es-CR"/>
              </w:rPr>
              <w:t>17.814</w:t>
            </w:r>
          </w:p>
        </w:tc>
        <w:tc>
          <w:tcPr>
            <w:tcW w:w="1301" w:type="dxa"/>
            <w:tcBorders>
              <w:top w:val="single" w:sz="8" w:space="0" w:color="auto"/>
              <w:left w:val="nil"/>
              <w:bottom w:val="single" w:sz="8" w:space="0" w:color="auto"/>
              <w:right w:val="single" w:sz="4" w:space="0" w:color="auto"/>
            </w:tcBorders>
            <w:shd w:val="clear" w:color="auto" w:fill="auto"/>
            <w:vAlign w:val="center"/>
            <w:hideMark/>
          </w:tcPr>
          <w:p w:rsidR="00623888" w:rsidRPr="0035377E" w:rsidRDefault="00623888" w:rsidP="00623888">
            <w:pPr>
              <w:spacing w:after="0" w:line="240" w:lineRule="auto"/>
              <w:rPr>
                <w:rFonts w:ascii="Arial" w:eastAsia="Times New Roman" w:hAnsi="Arial" w:cs="Arial"/>
                <w:b/>
                <w:bCs/>
                <w:color w:val="000000"/>
                <w:sz w:val="18"/>
                <w:szCs w:val="18"/>
                <w:lang w:eastAsia="es-CR"/>
              </w:rPr>
            </w:pPr>
            <w:r w:rsidRPr="0035377E">
              <w:rPr>
                <w:rFonts w:ascii="Arial" w:eastAsia="Times New Roman" w:hAnsi="Arial" w:cs="Arial"/>
                <w:b/>
                <w:bCs/>
                <w:color w:val="000000"/>
                <w:sz w:val="18"/>
                <w:szCs w:val="18"/>
                <w:lang w:eastAsia="es-CR"/>
              </w:rPr>
              <w:t>18.775</w:t>
            </w:r>
          </w:p>
        </w:tc>
        <w:tc>
          <w:tcPr>
            <w:tcW w:w="1407" w:type="dxa"/>
            <w:tcBorders>
              <w:top w:val="single" w:sz="8" w:space="0" w:color="auto"/>
              <w:left w:val="nil"/>
              <w:bottom w:val="single" w:sz="8" w:space="0" w:color="auto"/>
              <w:right w:val="single" w:sz="4" w:space="0" w:color="auto"/>
            </w:tcBorders>
            <w:shd w:val="clear" w:color="auto" w:fill="auto"/>
            <w:vAlign w:val="center"/>
            <w:hideMark/>
          </w:tcPr>
          <w:p w:rsidR="00623888" w:rsidRPr="0035377E" w:rsidRDefault="00623888" w:rsidP="00623888">
            <w:pPr>
              <w:spacing w:after="0" w:line="240" w:lineRule="auto"/>
              <w:rPr>
                <w:rFonts w:ascii="Arial" w:eastAsia="Times New Roman" w:hAnsi="Arial" w:cs="Arial"/>
                <w:b/>
                <w:bCs/>
                <w:color w:val="000000"/>
                <w:sz w:val="18"/>
                <w:szCs w:val="18"/>
                <w:lang w:eastAsia="es-CR"/>
              </w:rPr>
            </w:pPr>
            <w:r w:rsidRPr="0035377E">
              <w:rPr>
                <w:rFonts w:ascii="Arial" w:eastAsia="Times New Roman" w:hAnsi="Arial" w:cs="Arial"/>
                <w:b/>
                <w:bCs/>
                <w:color w:val="000000"/>
                <w:sz w:val="18"/>
                <w:szCs w:val="18"/>
                <w:lang w:eastAsia="es-CR"/>
              </w:rPr>
              <w:t>962</w:t>
            </w:r>
          </w:p>
        </w:tc>
        <w:tc>
          <w:tcPr>
            <w:tcW w:w="1311" w:type="dxa"/>
            <w:tcBorders>
              <w:top w:val="single" w:sz="8" w:space="0" w:color="auto"/>
              <w:left w:val="nil"/>
              <w:bottom w:val="single" w:sz="8" w:space="0" w:color="auto"/>
              <w:right w:val="single" w:sz="8" w:space="0" w:color="auto"/>
            </w:tcBorders>
            <w:shd w:val="clear" w:color="auto" w:fill="auto"/>
            <w:noWrap/>
            <w:vAlign w:val="bottom"/>
            <w:hideMark/>
          </w:tcPr>
          <w:p w:rsidR="00623888" w:rsidRPr="0035377E" w:rsidRDefault="00623888" w:rsidP="00623888">
            <w:pPr>
              <w:spacing w:after="0" w:line="240" w:lineRule="auto"/>
              <w:rPr>
                <w:rFonts w:ascii="Arial" w:eastAsia="Times New Roman" w:hAnsi="Arial" w:cs="Arial"/>
                <w:b/>
                <w:bCs/>
                <w:color w:val="000000"/>
                <w:sz w:val="18"/>
                <w:szCs w:val="18"/>
                <w:lang w:eastAsia="es-CR"/>
              </w:rPr>
            </w:pPr>
            <w:r w:rsidRPr="0035377E">
              <w:rPr>
                <w:rFonts w:ascii="Arial" w:eastAsia="Times New Roman" w:hAnsi="Arial" w:cs="Arial"/>
                <w:b/>
                <w:bCs/>
                <w:color w:val="000000"/>
                <w:sz w:val="18"/>
                <w:szCs w:val="18"/>
                <w:lang w:eastAsia="es-CR"/>
              </w:rPr>
              <w:t>5%</w:t>
            </w:r>
          </w:p>
        </w:tc>
      </w:tr>
    </w:tbl>
    <w:p w:rsidR="00623888" w:rsidRPr="001E2626" w:rsidRDefault="00623888" w:rsidP="00623888">
      <w:pPr>
        <w:spacing w:after="0" w:line="240" w:lineRule="auto"/>
        <w:rPr>
          <w:rFonts w:ascii="Arial" w:eastAsia="Times New Roman" w:hAnsi="Arial" w:cs="Arial"/>
          <w:bCs/>
          <w:color w:val="000000"/>
          <w:sz w:val="18"/>
          <w:szCs w:val="18"/>
          <w:lang w:eastAsia="es-CR"/>
        </w:rPr>
      </w:pPr>
      <w:r w:rsidRPr="001E2626">
        <w:rPr>
          <w:rFonts w:ascii="Arial" w:eastAsia="Times New Roman" w:hAnsi="Arial" w:cs="Arial"/>
          <w:bCs/>
          <w:color w:val="000000"/>
          <w:sz w:val="18"/>
          <w:szCs w:val="18"/>
          <w:lang w:eastAsia="es-CR"/>
        </w:rPr>
        <w:t xml:space="preserve">         </w:t>
      </w:r>
      <w:r w:rsidR="001E2626">
        <w:rPr>
          <w:rFonts w:ascii="Arial" w:eastAsia="Times New Roman" w:hAnsi="Arial" w:cs="Arial"/>
          <w:bCs/>
          <w:color w:val="000000"/>
          <w:sz w:val="18"/>
          <w:szCs w:val="18"/>
          <w:lang w:eastAsia="es-CR"/>
        </w:rPr>
        <w:t xml:space="preserve">  </w:t>
      </w:r>
      <w:r w:rsidRPr="001E2626">
        <w:rPr>
          <w:rFonts w:ascii="Arial" w:eastAsia="Times New Roman" w:hAnsi="Arial" w:cs="Arial"/>
          <w:bCs/>
          <w:color w:val="000000"/>
          <w:sz w:val="18"/>
          <w:szCs w:val="18"/>
          <w:lang w:eastAsia="es-CR"/>
        </w:rPr>
        <w:t xml:space="preserve">         Fuente: Informe de rendimiento de cuentas del área. (2017)</w:t>
      </w:r>
    </w:p>
    <w:p w:rsidR="00623888" w:rsidRPr="00623888" w:rsidRDefault="00623888" w:rsidP="0035377E">
      <w:pPr>
        <w:spacing w:after="0" w:line="240" w:lineRule="auto"/>
        <w:jc w:val="center"/>
        <w:rPr>
          <w:rFonts w:ascii="Arial" w:eastAsia="Times New Roman" w:hAnsi="Arial" w:cs="Arial"/>
          <w:b/>
          <w:bCs/>
          <w:color w:val="000000"/>
          <w:sz w:val="20"/>
          <w:szCs w:val="20"/>
          <w:lang w:eastAsia="es-CR"/>
        </w:rPr>
      </w:pPr>
      <w:r w:rsidRPr="00623888">
        <w:rPr>
          <w:rFonts w:ascii="Arial" w:eastAsia="Times New Roman" w:hAnsi="Arial" w:cs="Arial"/>
          <w:b/>
          <w:bCs/>
          <w:color w:val="000000"/>
          <w:sz w:val="20"/>
          <w:szCs w:val="20"/>
          <w:lang w:eastAsia="es-CR"/>
        </w:rPr>
        <w:fldChar w:fldCharType="begin"/>
      </w:r>
      <w:r w:rsidRPr="00623888">
        <w:rPr>
          <w:rFonts w:ascii="Arial" w:eastAsia="Times New Roman" w:hAnsi="Arial" w:cs="Arial"/>
          <w:b/>
          <w:bCs/>
          <w:color w:val="000000"/>
          <w:sz w:val="20"/>
          <w:szCs w:val="20"/>
          <w:lang w:eastAsia="es-CR"/>
        </w:rPr>
        <w:instrText xml:space="preserve"> LINK Excel.Sheet.12 "C:\\Users\\Mmartinez\\Documents\\Marta Martínez C\\Rendimiento de cuentas (año 2017)\\Rendimiento de Cuentas (Octubre 2017)\\Gráficos\\Programa IV (M11oct2017).xlsx!I45![Programa IV (M11oct2017).xlsx]I45 1 Gráfico" "" \a \p </w:instrText>
      </w:r>
      <w:r>
        <w:rPr>
          <w:rFonts w:ascii="Arial" w:eastAsia="Times New Roman" w:hAnsi="Arial" w:cs="Arial"/>
          <w:b/>
          <w:bCs/>
          <w:color w:val="000000"/>
          <w:sz w:val="20"/>
          <w:szCs w:val="20"/>
          <w:lang w:eastAsia="es-CR"/>
        </w:rPr>
        <w:instrText xml:space="preserve"> \* MERGEFORMAT </w:instrText>
      </w:r>
      <w:r w:rsidRPr="00623888">
        <w:rPr>
          <w:rFonts w:ascii="Arial" w:eastAsia="Times New Roman" w:hAnsi="Arial" w:cs="Arial"/>
          <w:b/>
          <w:bCs/>
          <w:color w:val="000000"/>
          <w:sz w:val="20"/>
          <w:szCs w:val="20"/>
          <w:lang w:eastAsia="es-CR"/>
        </w:rPr>
        <w:fldChar w:fldCharType="separate"/>
      </w:r>
      <w:r w:rsidRPr="00623888">
        <w:rPr>
          <w:rFonts w:ascii="Arial" w:eastAsia="Times New Roman" w:hAnsi="Arial" w:cs="Arial"/>
          <w:b/>
          <w:bCs/>
          <w:noProof/>
          <w:color w:val="000000"/>
          <w:sz w:val="20"/>
          <w:szCs w:val="20"/>
          <w:lang w:eastAsia="es-CR"/>
        </w:rPr>
        <w:drawing>
          <wp:inline distT="0" distB="0" distL="0" distR="0" wp14:anchorId="61866AB4" wp14:editId="7CB85407">
            <wp:extent cx="4026090" cy="2631558"/>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25918" cy="2631445"/>
                    </a:xfrm>
                    <a:prstGeom prst="rect">
                      <a:avLst/>
                    </a:prstGeom>
                    <a:noFill/>
                    <a:ln>
                      <a:noFill/>
                    </a:ln>
                  </pic:spPr>
                </pic:pic>
              </a:graphicData>
            </a:graphic>
          </wp:inline>
        </w:drawing>
      </w:r>
      <w:r w:rsidRPr="00623888">
        <w:rPr>
          <w:rFonts w:ascii="Arial" w:eastAsia="Times New Roman" w:hAnsi="Arial" w:cs="Arial"/>
          <w:b/>
          <w:bCs/>
          <w:color w:val="000000"/>
          <w:sz w:val="20"/>
          <w:szCs w:val="20"/>
          <w:lang w:eastAsia="es-CR"/>
        </w:rPr>
        <w:fldChar w:fldCharType="end"/>
      </w:r>
    </w:p>
    <w:p w:rsidR="00623888" w:rsidRPr="00FC7F4D" w:rsidRDefault="00623888" w:rsidP="00623888">
      <w:pPr>
        <w:spacing w:after="0" w:line="240" w:lineRule="auto"/>
        <w:rPr>
          <w:rFonts w:ascii="Arial" w:eastAsia="Times New Roman" w:hAnsi="Arial" w:cs="Arial"/>
          <w:bCs/>
          <w:color w:val="000000"/>
          <w:sz w:val="18"/>
          <w:szCs w:val="18"/>
          <w:lang w:eastAsia="es-CR"/>
        </w:rPr>
      </w:pPr>
      <w:r w:rsidRPr="00FC7F4D">
        <w:rPr>
          <w:rFonts w:ascii="Arial" w:eastAsia="Times New Roman" w:hAnsi="Arial" w:cs="Arial"/>
          <w:bCs/>
          <w:color w:val="000000"/>
          <w:sz w:val="20"/>
          <w:szCs w:val="20"/>
          <w:lang w:eastAsia="es-CR"/>
        </w:rPr>
        <w:t xml:space="preserve">             </w:t>
      </w:r>
      <w:r w:rsidR="0035377E" w:rsidRPr="00FC7F4D">
        <w:rPr>
          <w:rFonts w:ascii="Arial" w:eastAsia="Times New Roman" w:hAnsi="Arial" w:cs="Arial"/>
          <w:bCs/>
          <w:color w:val="000000"/>
          <w:sz w:val="20"/>
          <w:szCs w:val="20"/>
          <w:lang w:eastAsia="es-CR"/>
        </w:rPr>
        <w:t xml:space="preserve">           </w:t>
      </w:r>
      <w:r w:rsidRPr="00FC7F4D">
        <w:rPr>
          <w:rFonts w:ascii="Arial" w:eastAsia="Times New Roman" w:hAnsi="Arial" w:cs="Arial"/>
          <w:bCs/>
          <w:color w:val="000000"/>
          <w:sz w:val="18"/>
          <w:szCs w:val="18"/>
          <w:lang w:eastAsia="es-CR"/>
        </w:rPr>
        <w:t xml:space="preserve"> Fuente: Informe de rendimiento de cuentas del área. (2017)</w:t>
      </w:r>
    </w:p>
    <w:p w:rsidR="00623888" w:rsidRDefault="00623888" w:rsidP="00623888">
      <w:pPr>
        <w:spacing w:after="0" w:line="240" w:lineRule="auto"/>
      </w:pPr>
    </w:p>
    <w:p w:rsidR="00623888" w:rsidRPr="00A8169B" w:rsidRDefault="00623888" w:rsidP="00623888">
      <w:pPr>
        <w:spacing w:after="0" w:line="240" w:lineRule="auto"/>
        <w:jc w:val="both"/>
        <w:rPr>
          <w:rFonts w:ascii="Arial" w:hAnsi="Arial" w:cs="Arial"/>
          <w:bCs/>
          <w:color w:val="FF0000"/>
          <w:lang w:eastAsia="es-CR"/>
        </w:rPr>
      </w:pPr>
    </w:p>
    <w:p w:rsidR="0035377E" w:rsidRDefault="0035377E" w:rsidP="00623888">
      <w:pPr>
        <w:spacing w:after="0" w:line="240" w:lineRule="auto"/>
        <w:jc w:val="both"/>
        <w:rPr>
          <w:rFonts w:ascii="Arial" w:eastAsia="Times New Roman" w:hAnsi="Arial" w:cs="Arial"/>
          <w:b/>
          <w:bCs/>
          <w:sz w:val="20"/>
          <w:szCs w:val="20"/>
          <w:lang w:eastAsia="es-CR"/>
        </w:rPr>
      </w:pPr>
    </w:p>
    <w:p w:rsidR="0035377E" w:rsidRDefault="0035377E" w:rsidP="00623888">
      <w:pPr>
        <w:spacing w:after="0" w:line="240" w:lineRule="auto"/>
        <w:jc w:val="both"/>
        <w:rPr>
          <w:rFonts w:ascii="Arial" w:eastAsia="Times New Roman" w:hAnsi="Arial" w:cs="Arial"/>
          <w:b/>
          <w:bCs/>
          <w:sz w:val="20"/>
          <w:szCs w:val="20"/>
          <w:lang w:eastAsia="es-CR"/>
        </w:rPr>
      </w:pPr>
    </w:p>
    <w:p w:rsidR="00623888" w:rsidRPr="00623888" w:rsidRDefault="00623888" w:rsidP="00623888">
      <w:pPr>
        <w:spacing w:after="0" w:line="240" w:lineRule="auto"/>
        <w:jc w:val="both"/>
        <w:rPr>
          <w:rFonts w:ascii="Arial" w:eastAsia="Times New Roman" w:hAnsi="Arial" w:cs="Arial"/>
          <w:b/>
          <w:bCs/>
          <w:sz w:val="20"/>
          <w:szCs w:val="20"/>
          <w:lang w:eastAsia="es-CR"/>
        </w:rPr>
      </w:pPr>
      <w:r w:rsidRPr="00623888">
        <w:rPr>
          <w:rFonts w:ascii="Arial" w:eastAsia="Times New Roman" w:hAnsi="Arial" w:cs="Arial"/>
          <w:b/>
          <w:bCs/>
          <w:sz w:val="20"/>
          <w:szCs w:val="20"/>
          <w:lang w:eastAsia="es-CR"/>
        </w:rPr>
        <w:t>Indicador 46. Variación del tiempo de respuesta en la tramitación de los créditos aprobados del Sistema de Ahorro y Préstamo (SAP) entre diciembre 2016 y diciembre del 2017</w:t>
      </w:r>
    </w:p>
    <w:p w:rsidR="00623888" w:rsidRPr="00623888" w:rsidRDefault="00623888" w:rsidP="00623888">
      <w:pPr>
        <w:spacing w:after="0" w:line="240" w:lineRule="auto"/>
        <w:jc w:val="both"/>
        <w:rPr>
          <w:rFonts w:ascii="Arial" w:eastAsia="Times New Roman" w:hAnsi="Arial" w:cs="Arial"/>
          <w:b/>
          <w:bCs/>
          <w:sz w:val="20"/>
          <w:szCs w:val="20"/>
          <w:lang w:eastAsia="es-CR"/>
        </w:rPr>
      </w:pPr>
    </w:p>
    <w:p w:rsidR="00623888" w:rsidRPr="00623888" w:rsidRDefault="00623888" w:rsidP="00623888">
      <w:pPr>
        <w:spacing w:after="0" w:line="240" w:lineRule="auto"/>
        <w:jc w:val="both"/>
        <w:rPr>
          <w:rFonts w:ascii="Arial" w:eastAsia="Times New Roman" w:hAnsi="Arial" w:cs="Arial"/>
          <w:bCs/>
          <w:sz w:val="20"/>
          <w:szCs w:val="20"/>
          <w:lang w:eastAsia="es-CR"/>
        </w:rPr>
      </w:pPr>
      <w:r w:rsidRPr="00623888">
        <w:rPr>
          <w:rFonts w:ascii="Arial" w:eastAsia="Times New Roman" w:hAnsi="Arial" w:cs="Arial"/>
          <w:bCs/>
          <w:sz w:val="20"/>
          <w:szCs w:val="20"/>
          <w:lang w:eastAsia="es-CR"/>
        </w:rPr>
        <w:t xml:space="preserve">A diciembre el tiempo promedio de los casos tramitados y aprobados, fue de 29 días hábiles, mostrando una disminución de 13 días, en relación a diciembre 2016, que estaba en 42 días hábiles. </w:t>
      </w:r>
    </w:p>
    <w:p w:rsidR="00623888" w:rsidRPr="00623888" w:rsidRDefault="00623888" w:rsidP="00623888">
      <w:pPr>
        <w:spacing w:after="0" w:line="240" w:lineRule="auto"/>
        <w:jc w:val="both"/>
        <w:rPr>
          <w:rFonts w:ascii="Arial" w:hAnsi="Arial" w:cs="Arial"/>
          <w:b/>
          <w:bCs/>
          <w:color w:val="000000"/>
          <w:sz w:val="20"/>
          <w:szCs w:val="20"/>
          <w:lang w:eastAsia="es-CR"/>
        </w:rPr>
      </w:pPr>
      <w:r w:rsidRPr="00623888">
        <w:rPr>
          <w:rFonts w:ascii="Arial" w:eastAsia="Times New Roman" w:hAnsi="Arial" w:cs="Arial"/>
          <w:bCs/>
          <w:sz w:val="20"/>
          <w:szCs w:val="20"/>
          <w:lang w:eastAsia="es-CR"/>
        </w:rPr>
        <w:br w:type="page"/>
      </w:r>
      <w:r w:rsidRPr="00623888">
        <w:rPr>
          <w:rFonts w:ascii="Arial" w:hAnsi="Arial" w:cs="Arial"/>
          <w:b/>
          <w:bCs/>
          <w:color w:val="000000"/>
          <w:sz w:val="20"/>
          <w:szCs w:val="20"/>
          <w:lang w:eastAsia="es-CR"/>
        </w:rPr>
        <w:lastRenderedPageBreak/>
        <w:t>Indicador 47. Cantidad de solicitudes aprobadas en créditos de ahorro y préstamo</w:t>
      </w:r>
    </w:p>
    <w:p w:rsidR="00623888" w:rsidRPr="00623888" w:rsidRDefault="00623888" w:rsidP="00623888">
      <w:pPr>
        <w:pStyle w:val="Textoindependiente"/>
        <w:spacing w:after="0" w:line="240" w:lineRule="auto"/>
        <w:rPr>
          <w:rFonts w:cs="Arial"/>
          <w:b/>
          <w:bCs/>
          <w:color w:val="000000"/>
          <w:sz w:val="20"/>
          <w:szCs w:val="20"/>
          <w:lang w:eastAsia="es-CR"/>
        </w:rPr>
      </w:pPr>
    </w:p>
    <w:p w:rsidR="00623888" w:rsidRPr="00623888" w:rsidRDefault="00623888" w:rsidP="00623888">
      <w:pPr>
        <w:spacing w:after="0" w:line="240" w:lineRule="auto"/>
        <w:jc w:val="both"/>
        <w:rPr>
          <w:rFonts w:ascii="Arial" w:hAnsi="Arial" w:cs="Arial"/>
          <w:bCs/>
          <w:color w:val="000000"/>
          <w:sz w:val="20"/>
          <w:szCs w:val="20"/>
          <w:lang w:eastAsia="es-CR"/>
        </w:rPr>
      </w:pPr>
      <w:r w:rsidRPr="00623888">
        <w:rPr>
          <w:rFonts w:ascii="Arial" w:hAnsi="Arial" w:cs="Arial"/>
          <w:bCs/>
          <w:color w:val="000000"/>
          <w:sz w:val="20"/>
          <w:szCs w:val="20"/>
          <w:lang w:eastAsia="es-CR"/>
        </w:rPr>
        <w:t xml:space="preserve">De enero a diciembre se aprobaron 529 solicitudes de crédito del Sistema de Ahorro y Préstamo (SAP), lo que representa el 57% de la meta anual fijada en 936 solicitudes. </w:t>
      </w:r>
    </w:p>
    <w:p w:rsidR="00623888" w:rsidRPr="00623888" w:rsidRDefault="00623888" w:rsidP="00623888">
      <w:pPr>
        <w:spacing w:after="0" w:line="240" w:lineRule="auto"/>
        <w:jc w:val="both"/>
        <w:rPr>
          <w:rFonts w:ascii="Arial" w:hAnsi="Arial" w:cs="Arial"/>
          <w:bCs/>
          <w:color w:val="000000"/>
          <w:sz w:val="20"/>
          <w:szCs w:val="20"/>
          <w:lang w:eastAsia="es-CR"/>
        </w:rPr>
      </w:pPr>
      <w:r w:rsidRPr="00623888">
        <w:rPr>
          <w:rFonts w:ascii="Arial" w:hAnsi="Arial" w:cs="Arial"/>
          <w:bCs/>
          <w:color w:val="000000"/>
          <w:sz w:val="20"/>
          <w:szCs w:val="20"/>
          <w:lang w:eastAsia="es-CR"/>
        </w:rPr>
        <w:t xml:space="preserve">El monto aprobado en dichas solicitudes fue de </w:t>
      </w:r>
      <w:r w:rsidRPr="00623888">
        <w:rPr>
          <w:rFonts w:ascii="Arial" w:hAnsi="Arial" w:cs="Arial"/>
          <w:bCs/>
          <w:sz w:val="20"/>
          <w:szCs w:val="20"/>
          <w:lang w:eastAsia="es-CR"/>
        </w:rPr>
        <w:t xml:space="preserve">¢17.278,6 </w:t>
      </w:r>
      <w:r w:rsidRPr="00623888">
        <w:rPr>
          <w:rFonts w:ascii="Arial" w:hAnsi="Arial" w:cs="Arial"/>
          <w:bCs/>
          <w:color w:val="000000"/>
          <w:sz w:val="20"/>
          <w:szCs w:val="20"/>
          <w:lang w:eastAsia="es-CR"/>
        </w:rPr>
        <w:t>millones, ejecución que representa el 74% del presupuesto anual de ¢23.243,3 millones.</w:t>
      </w:r>
    </w:p>
    <w:p w:rsidR="00623888" w:rsidRPr="00623888" w:rsidRDefault="00623888" w:rsidP="00623888">
      <w:pPr>
        <w:spacing w:after="0" w:line="240" w:lineRule="auto"/>
        <w:jc w:val="both"/>
        <w:rPr>
          <w:rFonts w:ascii="Arial" w:hAnsi="Arial" w:cs="Arial"/>
          <w:bCs/>
          <w:color w:val="000000"/>
          <w:sz w:val="20"/>
          <w:szCs w:val="20"/>
          <w:lang w:eastAsia="es-CR"/>
        </w:rPr>
      </w:pPr>
    </w:p>
    <w:p w:rsidR="00623888" w:rsidRPr="00623888" w:rsidRDefault="00623888" w:rsidP="00623888">
      <w:pPr>
        <w:spacing w:after="0" w:line="240" w:lineRule="auto"/>
        <w:jc w:val="both"/>
        <w:rPr>
          <w:rFonts w:ascii="Arial" w:hAnsi="Arial" w:cs="Arial"/>
          <w:bCs/>
          <w:sz w:val="20"/>
          <w:szCs w:val="20"/>
          <w:lang w:eastAsia="es-CR"/>
        </w:rPr>
      </w:pPr>
      <w:r w:rsidRPr="00623888">
        <w:rPr>
          <w:rFonts w:ascii="Arial" w:hAnsi="Arial" w:cs="Arial"/>
          <w:bCs/>
          <w:color w:val="000000"/>
          <w:sz w:val="20"/>
          <w:szCs w:val="20"/>
          <w:lang w:eastAsia="es-CR"/>
        </w:rPr>
        <w:t>En cuanto a la modalidad de los créditos aprobados se puede observar en el cuadro y gráfico siguiente, que los clientes se inclinan como primera opción, por la compra de casa, que representa el 42% y la segunda opción e</w:t>
      </w:r>
      <w:r w:rsidRPr="00623888">
        <w:rPr>
          <w:rFonts w:ascii="Arial" w:hAnsi="Arial" w:cs="Arial"/>
          <w:bCs/>
          <w:sz w:val="20"/>
          <w:szCs w:val="20"/>
          <w:lang w:eastAsia="es-CR"/>
        </w:rPr>
        <w:t xml:space="preserve">s la construcción, que representa el 26%. </w:t>
      </w:r>
    </w:p>
    <w:p w:rsidR="00623888" w:rsidRPr="00623888" w:rsidRDefault="00623888" w:rsidP="00623888">
      <w:pPr>
        <w:spacing w:after="0" w:line="240" w:lineRule="auto"/>
        <w:jc w:val="both"/>
        <w:rPr>
          <w:rFonts w:ascii="Arial" w:hAnsi="Arial" w:cs="Arial"/>
          <w:bCs/>
          <w:sz w:val="20"/>
          <w:szCs w:val="20"/>
          <w:lang w:eastAsia="es-CR"/>
        </w:rPr>
      </w:pPr>
    </w:p>
    <w:tbl>
      <w:tblPr>
        <w:tblW w:w="8260" w:type="dxa"/>
        <w:jc w:val="center"/>
        <w:tblCellMar>
          <w:left w:w="70" w:type="dxa"/>
          <w:right w:w="70" w:type="dxa"/>
        </w:tblCellMar>
        <w:tblLook w:val="04A0" w:firstRow="1" w:lastRow="0" w:firstColumn="1" w:lastColumn="0" w:noHBand="0" w:noVBand="1"/>
      </w:tblPr>
      <w:tblGrid>
        <w:gridCol w:w="3396"/>
        <w:gridCol w:w="1024"/>
        <w:gridCol w:w="1560"/>
        <w:gridCol w:w="2280"/>
      </w:tblGrid>
      <w:tr w:rsidR="00623888" w:rsidRPr="00623888" w:rsidTr="00BC1A0F">
        <w:trPr>
          <w:trHeight w:val="600"/>
          <w:jc w:val="center"/>
        </w:trPr>
        <w:tc>
          <w:tcPr>
            <w:tcW w:w="8260" w:type="dxa"/>
            <w:gridSpan w:val="4"/>
            <w:tcBorders>
              <w:top w:val="nil"/>
              <w:left w:val="nil"/>
              <w:bottom w:val="single" w:sz="4" w:space="0" w:color="auto"/>
              <w:right w:val="nil"/>
            </w:tcBorders>
          </w:tcPr>
          <w:p w:rsidR="00623888" w:rsidRPr="00623888" w:rsidRDefault="00623888" w:rsidP="00BC1DD5">
            <w:pPr>
              <w:spacing w:after="0" w:line="240" w:lineRule="auto"/>
              <w:jc w:val="center"/>
              <w:rPr>
                <w:b/>
                <w:bCs/>
                <w:sz w:val="20"/>
                <w:szCs w:val="20"/>
                <w:lang w:eastAsia="es-CR"/>
              </w:rPr>
            </w:pPr>
            <w:r w:rsidRPr="00623888">
              <w:rPr>
                <w:b/>
                <w:bCs/>
                <w:sz w:val="20"/>
                <w:szCs w:val="20"/>
                <w:lang w:eastAsia="es-CR"/>
              </w:rPr>
              <w:t>Cuadro 1</w:t>
            </w:r>
            <w:r w:rsidR="00BC1DD5">
              <w:rPr>
                <w:b/>
                <w:bCs/>
                <w:sz w:val="20"/>
                <w:szCs w:val="20"/>
                <w:lang w:eastAsia="es-CR"/>
              </w:rPr>
              <w:t>3</w:t>
            </w:r>
            <w:r w:rsidRPr="00623888">
              <w:rPr>
                <w:b/>
                <w:bCs/>
                <w:sz w:val="20"/>
                <w:szCs w:val="20"/>
                <w:lang w:eastAsia="es-CR"/>
              </w:rPr>
              <w:t xml:space="preserve"> Créditos Aprobados por Modalidad, en miles</w:t>
            </w:r>
            <w:r w:rsidRPr="00623888">
              <w:rPr>
                <w:b/>
                <w:bCs/>
                <w:sz w:val="20"/>
                <w:szCs w:val="20"/>
                <w:lang w:eastAsia="es-CR"/>
              </w:rPr>
              <w:br/>
              <w:t>Enero - diciembre 2017</w:t>
            </w:r>
          </w:p>
        </w:tc>
      </w:tr>
      <w:tr w:rsidR="00623888" w:rsidRPr="00623888" w:rsidTr="00BC1A0F">
        <w:trPr>
          <w:trHeight w:val="315"/>
          <w:jc w:val="center"/>
        </w:trPr>
        <w:tc>
          <w:tcPr>
            <w:tcW w:w="33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888" w:rsidRPr="00623888" w:rsidRDefault="00623888" w:rsidP="00623888">
            <w:pPr>
              <w:spacing w:after="0" w:line="240" w:lineRule="auto"/>
              <w:jc w:val="center"/>
              <w:rPr>
                <w:b/>
                <w:bCs/>
                <w:sz w:val="20"/>
                <w:szCs w:val="20"/>
                <w:lang w:eastAsia="es-CR"/>
              </w:rPr>
            </w:pPr>
            <w:r w:rsidRPr="00623888">
              <w:rPr>
                <w:b/>
                <w:bCs/>
                <w:sz w:val="20"/>
                <w:szCs w:val="20"/>
                <w:lang w:eastAsia="es-CR"/>
              </w:rPr>
              <w:t>Modalidad</w:t>
            </w:r>
          </w:p>
        </w:tc>
        <w:tc>
          <w:tcPr>
            <w:tcW w:w="1024" w:type="dxa"/>
            <w:tcBorders>
              <w:top w:val="single" w:sz="4" w:space="0" w:color="auto"/>
              <w:left w:val="single" w:sz="4" w:space="0" w:color="auto"/>
              <w:bottom w:val="single" w:sz="4" w:space="0" w:color="auto"/>
              <w:right w:val="single" w:sz="4" w:space="0" w:color="auto"/>
            </w:tcBorders>
          </w:tcPr>
          <w:p w:rsidR="00623888" w:rsidRPr="00623888" w:rsidRDefault="00623888" w:rsidP="00623888">
            <w:pPr>
              <w:spacing w:after="0" w:line="240" w:lineRule="auto"/>
              <w:jc w:val="center"/>
              <w:rPr>
                <w:b/>
                <w:bCs/>
                <w:sz w:val="20"/>
                <w:szCs w:val="20"/>
                <w:lang w:eastAsia="es-CR"/>
              </w:rPr>
            </w:pPr>
            <w:r w:rsidRPr="00623888">
              <w:rPr>
                <w:b/>
                <w:bCs/>
                <w:sz w:val="20"/>
                <w:szCs w:val="20"/>
                <w:lang w:eastAsia="es-CR"/>
              </w:rPr>
              <w:t>Cantidad</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888" w:rsidRPr="00623888" w:rsidRDefault="00623888" w:rsidP="00623888">
            <w:pPr>
              <w:spacing w:after="0" w:line="240" w:lineRule="auto"/>
              <w:jc w:val="center"/>
              <w:rPr>
                <w:b/>
                <w:bCs/>
                <w:sz w:val="20"/>
                <w:szCs w:val="20"/>
                <w:lang w:eastAsia="es-CR"/>
              </w:rPr>
            </w:pPr>
            <w:r w:rsidRPr="00623888">
              <w:rPr>
                <w:b/>
                <w:bCs/>
                <w:sz w:val="20"/>
                <w:szCs w:val="20"/>
                <w:lang w:eastAsia="es-CR"/>
              </w:rPr>
              <w:t>Monto</w:t>
            </w:r>
          </w:p>
        </w:tc>
        <w:tc>
          <w:tcPr>
            <w:tcW w:w="2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888" w:rsidRPr="00623888" w:rsidRDefault="00623888" w:rsidP="00623888">
            <w:pPr>
              <w:spacing w:after="0" w:line="240" w:lineRule="auto"/>
              <w:jc w:val="center"/>
              <w:rPr>
                <w:b/>
                <w:bCs/>
                <w:sz w:val="20"/>
                <w:szCs w:val="20"/>
                <w:lang w:eastAsia="es-CR"/>
              </w:rPr>
            </w:pPr>
            <w:r w:rsidRPr="00623888">
              <w:rPr>
                <w:b/>
                <w:bCs/>
                <w:sz w:val="20"/>
                <w:szCs w:val="20"/>
                <w:lang w:eastAsia="es-CR"/>
              </w:rPr>
              <w:t>%</w:t>
            </w:r>
          </w:p>
        </w:tc>
      </w:tr>
      <w:tr w:rsidR="00623888" w:rsidRPr="00623888" w:rsidTr="00BC1A0F">
        <w:trPr>
          <w:trHeight w:val="300"/>
          <w:jc w:val="center"/>
        </w:trPr>
        <w:tc>
          <w:tcPr>
            <w:tcW w:w="33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888" w:rsidRPr="00623888" w:rsidRDefault="00623888" w:rsidP="00623888">
            <w:pPr>
              <w:spacing w:after="0" w:line="240" w:lineRule="auto"/>
              <w:rPr>
                <w:rFonts w:ascii="Arial" w:hAnsi="Arial" w:cs="Arial"/>
                <w:sz w:val="20"/>
                <w:szCs w:val="20"/>
                <w:lang w:eastAsia="es-CR"/>
              </w:rPr>
            </w:pPr>
            <w:r w:rsidRPr="00623888">
              <w:rPr>
                <w:rFonts w:ascii="Arial" w:hAnsi="Arial" w:cs="Arial"/>
                <w:sz w:val="20"/>
                <w:szCs w:val="20"/>
                <w:lang w:eastAsia="es-CR"/>
              </w:rPr>
              <w:t>1) Compra de Lote</w:t>
            </w:r>
          </w:p>
        </w:tc>
        <w:tc>
          <w:tcPr>
            <w:tcW w:w="1024" w:type="dxa"/>
            <w:tcBorders>
              <w:top w:val="single" w:sz="4" w:space="0" w:color="auto"/>
              <w:left w:val="single" w:sz="4" w:space="0" w:color="auto"/>
              <w:bottom w:val="single" w:sz="4" w:space="0" w:color="auto"/>
              <w:right w:val="single" w:sz="4" w:space="0" w:color="auto"/>
            </w:tcBorders>
            <w:vAlign w:val="center"/>
          </w:tcPr>
          <w:p w:rsidR="00623888" w:rsidRPr="00623888" w:rsidRDefault="00623888" w:rsidP="00623888">
            <w:pPr>
              <w:spacing w:after="0" w:line="240" w:lineRule="auto"/>
              <w:jc w:val="center"/>
              <w:rPr>
                <w:rFonts w:ascii="Arial" w:hAnsi="Arial" w:cs="Arial"/>
                <w:sz w:val="20"/>
                <w:szCs w:val="20"/>
              </w:rPr>
            </w:pPr>
            <w:r w:rsidRPr="00623888">
              <w:rPr>
                <w:rFonts w:ascii="Arial" w:hAnsi="Arial" w:cs="Arial"/>
                <w:sz w:val="20"/>
                <w:szCs w:val="20"/>
              </w:rPr>
              <w:t>128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3888" w:rsidRPr="00623888" w:rsidRDefault="00623888" w:rsidP="00623888">
            <w:pPr>
              <w:spacing w:after="0" w:line="240" w:lineRule="auto"/>
              <w:jc w:val="center"/>
              <w:rPr>
                <w:rFonts w:ascii="Arial" w:hAnsi="Arial" w:cs="Arial"/>
                <w:sz w:val="20"/>
                <w:szCs w:val="20"/>
              </w:rPr>
            </w:pPr>
            <w:r w:rsidRPr="00623888">
              <w:rPr>
                <w:rFonts w:ascii="Arial" w:hAnsi="Arial" w:cs="Arial"/>
                <w:sz w:val="20"/>
                <w:szCs w:val="20"/>
              </w:rPr>
              <w:t>3.165.760,7</w:t>
            </w:r>
          </w:p>
        </w:tc>
        <w:tc>
          <w:tcPr>
            <w:tcW w:w="2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888" w:rsidRPr="00623888" w:rsidRDefault="00623888" w:rsidP="00623888">
            <w:pPr>
              <w:spacing w:after="0" w:line="240" w:lineRule="auto"/>
              <w:jc w:val="center"/>
              <w:rPr>
                <w:rFonts w:ascii="Arial" w:hAnsi="Arial" w:cs="Arial"/>
                <w:sz w:val="20"/>
                <w:szCs w:val="20"/>
              </w:rPr>
            </w:pPr>
            <w:r w:rsidRPr="00623888">
              <w:rPr>
                <w:rFonts w:ascii="Arial" w:hAnsi="Arial" w:cs="Arial"/>
                <w:sz w:val="20"/>
                <w:szCs w:val="20"/>
              </w:rPr>
              <w:t>18%</w:t>
            </w:r>
          </w:p>
        </w:tc>
      </w:tr>
      <w:tr w:rsidR="00623888" w:rsidRPr="00623888" w:rsidTr="00BC1A0F">
        <w:trPr>
          <w:trHeight w:val="300"/>
          <w:jc w:val="center"/>
        </w:trPr>
        <w:tc>
          <w:tcPr>
            <w:tcW w:w="33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888" w:rsidRPr="00623888" w:rsidRDefault="00623888" w:rsidP="00623888">
            <w:pPr>
              <w:spacing w:after="0" w:line="240" w:lineRule="auto"/>
              <w:rPr>
                <w:rFonts w:ascii="Arial" w:hAnsi="Arial" w:cs="Arial"/>
                <w:sz w:val="20"/>
                <w:szCs w:val="20"/>
                <w:lang w:eastAsia="es-CR"/>
              </w:rPr>
            </w:pPr>
            <w:r w:rsidRPr="00623888">
              <w:rPr>
                <w:rFonts w:ascii="Arial" w:hAnsi="Arial" w:cs="Arial"/>
                <w:sz w:val="20"/>
                <w:szCs w:val="20"/>
                <w:lang w:eastAsia="es-CR"/>
              </w:rPr>
              <w:t>2) Construcción</w:t>
            </w:r>
          </w:p>
        </w:tc>
        <w:tc>
          <w:tcPr>
            <w:tcW w:w="1024" w:type="dxa"/>
            <w:tcBorders>
              <w:top w:val="single" w:sz="4" w:space="0" w:color="auto"/>
              <w:left w:val="single" w:sz="4" w:space="0" w:color="auto"/>
              <w:bottom w:val="single" w:sz="4" w:space="0" w:color="auto"/>
              <w:right w:val="single" w:sz="4" w:space="0" w:color="auto"/>
            </w:tcBorders>
            <w:vAlign w:val="center"/>
          </w:tcPr>
          <w:p w:rsidR="00623888" w:rsidRPr="00623888" w:rsidRDefault="00623888" w:rsidP="00623888">
            <w:pPr>
              <w:spacing w:after="0" w:line="240" w:lineRule="auto"/>
              <w:jc w:val="center"/>
              <w:rPr>
                <w:rFonts w:ascii="Arial" w:hAnsi="Arial" w:cs="Arial"/>
                <w:sz w:val="20"/>
                <w:szCs w:val="20"/>
              </w:rPr>
            </w:pPr>
            <w:r w:rsidRPr="00623888">
              <w:rPr>
                <w:rFonts w:ascii="Arial" w:hAnsi="Arial" w:cs="Arial"/>
                <w:sz w:val="20"/>
                <w:szCs w:val="20"/>
              </w:rPr>
              <w:t>126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3888" w:rsidRPr="00623888" w:rsidRDefault="00623888" w:rsidP="00623888">
            <w:pPr>
              <w:spacing w:after="0" w:line="240" w:lineRule="auto"/>
              <w:jc w:val="center"/>
              <w:rPr>
                <w:rFonts w:ascii="Arial" w:hAnsi="Arial" w:cs="Arial"/>
                <w:sz w:val="20"/>
                <w:szCs w:val="20"/>
              </w:rPr>
            </w:pPr>
            <w:r w:rsidRPr="00623888">
              <w:rPr>
                <w:rFonts w:ascii="Arial" w:hAnsi="Arial" w:cs="Arial"/>
                <w:sz w:val="20"/>
                <w:szCs w:val="20"/>
              </w:rPr>
              <w:t>4.434.948,5</w:t>
            </w:r>
          </w:p>
        </w:tc>
        <w:tc>
          <w:tcPr>
            <w:tcW w:w="2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888" w:rsidRPr="00623888" w:rsidRDefault="00623888" w:rsidP="00623888">
            <w:pPr>
              <w:spacing w:after="0" w:line="240" w:lineRule="auto"/>
              <w:jc w:val="center"/>
              <w:rPr>
                <w:rFonts w:ascii="Arial" w:hAnsi="Arial" w:cs="Arial"/>
                <w:sz w:val="20"/>
                <w:szCs w:val="20"/>
              </w:rPr>
            </w:pPr>
            <w:r w:rsidRPr="00623888">
              <w:rPr>
                <w:rFonts w:ascii="Arial" w:hAnsi="Arial" w:cs="Arial"/>
                <w:sz w:val="20"/>
                <w:szCs w:val="20"/>
              </w:rPr>
              <w:t>26%</w:t>
            </w:r>
          </w:p>
        </w:tc>
      </w:tr>
      <w:tr w:rsidR="00623888" w:rsidRPr="00623888" w:rsidTr="00BC1A0F">
        <w:trPr>
          <w:trHeight w:val="300"/>
          <w:jc w:val="center"/>
        </w:trPr>
        <w:tc>
          <w:tcPr>
            <w:tcW w:w="33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888" w:rsidRPr="00623888" w:rsidRDefault="00623888" w:rsidP="00623888">
            <w:pPr>
              <w:spacing w:after="0" w:line="240" w:lineRule="auto"/>
              <w:rPr>
                <w:rFonts w:ascii="Arial" w:hAnsi="Arial" w:cs="Arial"/>
                <w:sz w:val="20"/>
                <w:szCs w:val="20"/>
                <w:lang w:eastAsia="es-CR"/>
              </w:rPr>
            </w:pPr>
            <w:r w:rsidRPr="00623888">
              <w:rPr>
                <w:rFonts w:ascii="Arial" w:hAnsi="Arial" w:cs="Arial"/>
                <w:sz w:val="20"/>
                <w:szCs w:val="20"/>
                <w:lang w:eastAsia="es-CR"/>
              </w:rPr>
              <w:t>3) Compra de casa</w:t>
            </w:r>
          </w:p>
        </w:tc>
        <w:tc>
          <w:tcPr>
            <w:tcW w:w="1024" w:type="dxa"/>
            <w:tcBorders>
              <w:top w:val="single" w:sz="4" w:space="0" w:color="auto"/>
              <w:left w:val="single" w:sz="4" w:space="0" w:color="auto"/>
              <w:bottom w:val="single" w:sz="4" w:space="0" w:color="auto"/>
              <w:right w:val="single" w:sz="4" w:space="0" w:color="auto"/>
            </w:tcBorders>
            <w:vAlign w:val="center"/>
          </w:tcPr>
          <w:p w:rsidR="00623888" w:rsidRPr="00623888" w:rsidRDefault="00623888" w:rsidP="00623888">
            <w:pPr>
              <w:spacing w:after="0" w:line="240" w:lineRule="auto"/>
              <w:jc w:val="center"/>
              <w:rPr>
                <w:rFonts w:ascii="Arial" w:hAnsi="Arial" w:cs="Arial"/>
                <w:sz w:val="20"/>
                <w:szCs w:val="20"/>
              </w:rPr>
            </w:pPr>
            <w:r w:rsidRPr="00623888">
              <w:rPr>
                <w:rFonts w:ascii="Arial" w:hAnsi="Arial" w:cs="Arial"/>
                <w:sz w:val="20"/>
                <w:szCs w:val="20"/>
              </w:rPr>
              <w:t>180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3888" w:rsidRPr="00623888" w:rsidRDefault="00623888" w:rsidP="00623888">
            <w:pPr>
              <w:spacing w:after="0" w:line="240" w:lineRule="auto"/>
              <w:jc w:val="center"/>
              <w:rPr>
                <w:rFonts w:ascii="Arial" w:hAnsi="Arial" w:cs="Arial"/>
                <w:sz w:val="20"/>
                <w:szCs w:val="20"/>
              </w:rPr>
            </w:pPr>
            <w:r w:rsidRPr="00623888">
              <w:rPr>
                <w:rFonts w:ascii="Arial" w:hAnsi="Arial" w:cs="Arial"/>
                <w:sz w:val="20"/>
                <w:szCs w:val="20"/>
              </w:rPr>
              <w:t>7.216.365,2</w:t>
            </w:r>
          </w:p>
        </w:tc>
        <w:tc>
          <w:tcPr>
            <w:tcW w:w="2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888" w:rsidRPr="00623888" w:rsidRDefault="00623888" w:rsidP="00623888">
            <w:pPr>
              <w:spacing w:after="0" w:line="240" w:lineRule="auto"/>
              <w:jc w:val="center"/>
              <w:rPr>
                <w:rFonts w:ascii="Arial" w:hAnsi="Arial" w:cs="Arial"/>
                <w:sz w:val="20"/>
                <w:szCs w:val="20"/>
              </w:rPr>
            </w:pPr>
            <w:r w:rsidRPr="00623888">
              <w:rPr>
                <w:rFonts w:ascii="Arial" w:hAnsi="Arial" w:cs="Arial"/>
                <w:sz w:val="20"/>
                <w:szCs w:val="20"/>
              </w:rPr>
              <w:t>42%</w:t>
            </w:r>
          </w:p>
        </w:tc>
      </w:tr>
      <w:tr w:rsidR="00623888" w:rsidRPr="00623888" w:rsidTr="00BC1A0F">
        <w:trPr>
          <w:trHeight w:val="300"/>
          <w:jc w:val="center"/>
        </w:trPr>
        <w:tc>
          <w:tcPr>
            <w:tcW w:w="33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888" w:rsidRPr="00623888" w:rsidRDefault="00623888" w:rsidP="00623888">
            <w:pPr>
              <w:spacing w:after="0" w:line="240" w:lineRule="auto"/>
              <w:rPr>
                <w:rFonts w:ascii="Arial" w:hAnsi="Arial" w:cs="Arial"/>
                <w:sz w:val="20"/>
                <w:szCs w:val="20"/>
                <w:lang w:eastAsia="es-CR"/>
              </w:rPr>
            </w:pPr>
            <w:r w:rsidRPr="00623888">
              <w:rPr>
                <w:rFonts w:ascii="Arial" w:hAnsi="Arial" w:cs="Arial"/>
                <w:sz w:val="20"/>
                <w:szCs w:val="20"/>
                <w:lang w:eastAsia="es-CR"/>
              </w:rPr>
              <w:t>4) Reparación y mejoras</w:t>
            </w:r>
          </w:p>
        </w:tc>
        <w:tc>
          <w:tcPr>
            <w:tcW w:w="1024" w:type="dxa"/>
            <w:tcBorders>
              <w:top w:val="single" w:sz="4" w:space="0" w:color="auto"/>
              <w:left w:val="single" w:sz="4" w:space="0" w:color="auto"/>
              <w:bottom w:val="single" w:sz="4" w:space="0" w:color="auto"/>
              <w:right w:val="single" w:sz="4" w:space="0" w:color="auto"/>
            </w:tcBorders>
            <w:vAlign w:val="center"/>
          </w:tcPr>
          <w:p w:rsidR="00623888" w:rsidRPr="00623888" w:rsidRDefault="00623888" w:rsidP="00623888">
            <w:pPr>
              <w:spacing w:after="0" w:line="240" w:lineRule="auto"/>
              <w:jc w:val="center"/>
              <w:rPr>
                <w:rFonts w:ascii="Arial" w:hAnsi="Arial" w:cs="Arial"/>
                <w:sz w:val="20"/>
                <w:szCs w:val="20"/>
              </w:rPr>
            </w:pPr>
            <w:r w:rsidRPr="00623888">
              <w:rPr>
                <w:rFonts w:ascii="Arial" w:hAnsi="Arial" w:cs="Arial"/>
                <w:sz w:val="20"/>
                <w:szCs w:val="20"/>
              </w:rPr>
              <w:t>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3888" w:rsidRPr="00623888" w:rsidRDefault="00623888" w:rsidP="00623888">
            <w:pPr>
              <w:spacing w:after="0" w:line="240" w:lineRule="auto"/>
              <w:jc w:val="center"/>
              <w:rPr>
                <w:rFonts w:ascii="Arial" w:hAnsi="Arial" w:cs="Arial"/>
                <w:sz w:val="20"/>
                <w:szCs w:val="20"/>
              </w:rPr>
            </w:pPr>
            <w:r w:rsidRPr="00623888">
              <w:rPr>
                <w:rFonts w:ascii="Arial" w:hAnsi="Arial" w:cs="Arial"/>
                <w:sz w:val="20"/>
                <w:szCs w:val="20"/>
              </w:rPr>
              <w:t>376.218,3</w:t>
            </w:r>
          </w:p>
        </w:tc>
        <w:tc>
          <w:tcPr>
            <w:tcW w:w="2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888" w:rsidRPr="00623888" w:rsidRDefault="00623888" w:rsidP="00623888">
            <w:pPr>
              <w:spacing w:after="0" w:line="240" w:lineRule="auto"/>
              <w:jc w:val="center"/>
              <w:rPr>
                <w:rFonts w:ascii="Arial" w:hAnsi="Arial" w:cs="Arial"/>
                <w:sz w:val="20"/>
                <w:szCs w:val="20"/>
              </w:rPr>
            </w:pPr>
            <w:r w:rsidRPr="00623888">
              <w:rPr>
                <w:rFonts w:ascii="Arial" w:hAnsi="Arial" w:cs="Arial"/>
                <w:sz w:val="20"/>
                <w:szCs w:val="20"/>
              </w:rPr>
              <w:t>2,2%</w:t>
            </w:r>
          </w:p>
        </w:tc>
      </w:tr>
      <w:tr w:rsidR="00623888" w:rsidRPr="00623888" w:rsidTr="00BC1A0F">
        <w:trPr>
          <w:trHeight w:val="300"/>
          <w:jc w:val="center"/>
        </w:trPr>
        <w:tc>
          <w:tcPr>
            <w:tcW w:w="33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888" w:rsidRPr="00623888" w:rsidRDefault="00623888" w:rsidP="00623888">
            <w:pPr>
              <w:spacing w:after="0" w:line="240" w:lineRule="auto"/>
              <w:rPr>
                <w:rFonts w:ascii="Arial" w:hAnsi="Arial" w:cs="Arial"/>
                <w:sz w:val="20"/>
                <w:szCs w:val="20"/>
                <w:lang w:eastAsia="es-CR"/>
              </w:rPr>
            </w:pPr>
            <w:r w:rsidRPr="00623888">
              <w:rPr>
                <w:rFonts w:ascii="Arial" w:hAnsi="Arial" w:cs="Arial"/>
                <w:sz w:val="20"/>
                <w:szCs w:val="20"/>
                <w:lang w:eastAsia="es-CR"/>
              </w:rPr>
              <w:t>5) Cancelación de hipoteca</w:t>
            </w:r>
          </w:p>
        </w:tc>
        <w:tc>
          <w:tcPr>
            <w:tcW w:w="1024" w:type="dxa"/>
            <w:tcBorders>
              <w:top w:val="single" w:sz="4" w:space="0" w:color="auto"/>
              <w:left w:val="single" w:sz="4" w:space="0" w:color="auto"/>
              <w:bottom w:val="single" w:sz="4" w:space="0" w:color="auto"/>
              <w:right w:val="single" w:sz="4" w:space="0" w:color="auto"/>
            </w:tcBorders>
            <w:vAlign w:val="center"/>
          </w:tcPr>
          <w:p w:rsidR="00623888" w:rsidRPr="00623888" w:rsidRDefault="00623888" w:rsidP="00623888">
            <w:pPr>
              <w:spacing w:after="0" w:line="240" w:lineRule="auto"/>
              <w:jc w:val="center"/>
              <w:rPr>
                <w:rFonts w:ascii="Arial" w:hAnsi="Arial" w:cs="Arial"/>
                <w:sz w:val="20"/>
                <w:szCs w:val="20"/>
              </w:rPr>
            </w:pPr>
            <w:r w:rsidRPr="00623888">
              <w:rPr>
                <w:rFonts w:ascii="Arial" w:hAnsi="Arial" w:cs="Arial"/>
                <w:sz w:val="20"/>
                <w:szCs w:val="20"/>
              </w:rPr>
              <w:t>71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3888" w:rsidRPr="00623888" w:rsidRDefault="00623888" w:rsidP="00623888">
            <w:pPr>
              <w:spacing w:after="0" w:line="240" w:lineRule="auto"/>
              <w:jc w:val="center"/>
              <w:rPr>
                <w:rFonts w:ascii="Arial" w:hAnsi="Arial" w:cs="Arial"/>
                <w:sz w:val="20"/>
                <w:szCs w:val="20"/>
              </w:rPr>
            </w:pPr>
            <w:r w:rsidRPr="00623888">
              <w:rPr>
                <w:rFonts w:ascii="Arial" w:hAnsi="Arial" w:cs="Arial"/>
                <w:sz w:val="20"/>
                <w:szCs w:val="20"/>
              </w:rPr>
              <w:t>2.055.378,0</w:t>
            </w:r>
          </w:p>
        </w:tc>
        <w:tc>
          <w:tcPr>
            <w:tcW w:w="2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888" w:rsidRPr="00623888" w:rsidRDefault="00623888" w:rsidP="00623888">
            <w:pPr>
              <w:spacing w:after="0" w:line="240" w:lineRule="auto"/>
              <w:jc w:val="center"/>
              <w:rPr>
                <w:rFonts w:ascii="Arial" w:hAnsi="Arial" w:cs="Arial"/>
                <w:sz w:val="20"/>
                <w:szCs w:val="20"/>
              </w:rPr>
            </w:pPr>
            <w:r w:rsidRPr="00623888">
              <w:rPr>
                <w:rFonts w:ascii="Arial" w:hAnsi="Arial" w:cs="Arial"/>
                <w:sz w:val="20"/>
                <w:szCs w:val="20"/>
              </w:rPr>
              <w:t>12%</w:t>
            </w:r>
          </w:p>
        </w:tc>
      </w:tr>
      <w:tr w:rsidR="00623888" w:rsidRPr="00623888" w:rsidTr="00BC1A0F">
        <w:trPr>
          <w:trHeight w:val="300"/>
          <w:jc w:val="center"/>
        </w:trPr>
        <w:tc>
          <w:tcPr>
            <w:tcW w:w="33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3888" w:rsidRPr="00623888" w:rsidRDefault="00623888" w:rsidP="00623888">
            <w:pPr>
              <w:spacing w:after="0" w:line="240" w:lineRule="auto"/>
              <w:rPr>
                <w:rFonts w:ascii="Arial" w:hAnsi="Arial" w:cs="Arial"/>
                <w:sz w:val="20"/>
                <w:szCs w:val="20"/>
                <w:lang w:eastAsia="es-CR"/>
              </w:rPr>
            </w:pPr>
            <w:r w:rsidRPr="00623888">
              <w:rPr>
                <w:rFonts w:ascii="Arial" w:hAnsi="Arial" w:cs="Arial"/>
                <w:sz w:val="20"/>
                <w:szCs w:val="20"/>
                <w:lang w:eastAsia="es-CR"/>
              </w:rPr>
              <w:t>6) Compra de lote y construcción</w:t>
            </w:r>
          </w:p>
        </w:tc>
        <w:tc>
          <w:tcPr>
            <w:tcW w:w="1024" w:type="dxa"/>
            <w:tcBorders>
              <w:top w:val="single" w:sz="4" w:space="0" w:color="auto"/>
              <w:left w:val="single" w:sz="4" w:space="0" w:color="auto"/>
              <w:bottom w:val="single" w:sz="4" w:space="0" w:color="auto"/>
              <w:right w:val="single" w:sz="4" w:space="0" w:color="auto"/>
            </w:tcBorders>
            <w:vAlign w:val="center"/>
          </w:tcPr>
          <w:p w:rsidR="00623888" w:rsidRPr="00623888" w:rsidRDefault="00623888" w:rsidP="00623888">
            <w:pPr>
              <w:spacing w:after="0" w:line="240" w:lineRule="auto"/>
              <w:jc w:val="center"/>
              <w:rPr>
                <w:rFonts w:ascii="Arial" w:hAnsi="Arial" w:cs="Arial"/>
                <w:sz w:val="20"/>
                <w:szCs w:val="20"/>
              </w:rPr>
            </w:pPr>
            <w:r w:rsidRPr="00623888">
              <w:rPr>
                <w:rFonts w:ascii="Arial" w:hAnsi="Arial" w:cs="Arial"/>
                <w:sz w:val="20"/>
                <w:szCs w:val="20"/>
              </w:rPr>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3888" w:rsidRPr="00623888" w:rsidRDefault="00623888" w:rsidP="00623888">
            <w:pPr>
              <w:spacing w:after="0" w:line="240" w:lineRule="auto"/>
              <w:jc w:val="center"/>
              <w:rPr>
                <w:rFonts w:ascii="Arial" w:hAnsi="Arial" w:cs="Arial"/>
                <w:sz w:val="20"/>
                <w:szCs w:val="20"/>
              </w:rPr>
            </w:pPr>
            <w:r w:rsidRPr="00623888">
              <w:rPr>
                <w:rFonts w:ascii="Arial" w:hAnsi="Arial" w:cs="Arial"/>
                <w:sz w:val="20"/>
                <w:szCs w:val="20"/>
              </w:rPr>
              <w:t>30.000,0</w:t>
            </w:r>
          </w:p>
        </w:tc>
        <w:tc>
          <w:tcPr>
            <w:tcW w:w="2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888" w:rsidRPr="00623888" w:rsidRDefault="00623888" w:rsidP="00623888">
            <w:pPr>
              <w:spacing w:after="0" w:line="240" w:lineRule="auto"/>
              <w:jc w:val="center"/>
              <w:rPr>
                <w:rFonts w:ascii="Arial" w:hAnsi="Arial" w:cs="Arial"/>
                <w:sz w:val="20"/>
                <w:szCs w:val="20"/>
              </w:rPr>
            </w:pPr>
            <w:r w:rsidRPr="00623888">
              <w:rPr>
                <w:rFonts w:ascii="Arial" w:hAnsi="Arial" w:cs="Arial"/>
                <w:sz w:val="20"/>
                <w:szCs w:val="20"/>
              </w:rPr>
              <w:t>0,2%</w:t>
            </w:r>
          </w:p>
        </w:tc>
      </w:tr>
      <w:tr w:rsidR="00623888" w:rsidRPr="00623888" w:rsidTr="00BC1A0F">
        <w:trPr>
          <w:trHeight w:val="315"/>
          <w:jc w:val="center"/>
        </w:trPr>
        <w:tc>
          <w:tcPr>
            <w:tcW w:w="33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3888" w:rsidRPr="00623888" w:rsidRDefault="00623888" w:rsidP="00623888">
            <w:pPr>
              <w:spacing w:after="0" w:line="240" w:lineRule="auto"/>
              <w:jc w:val="both"/>
              <w:rPr>
                <w:bCs/>
                <w:sz w:val="20"/>
                <w:szCs w:val="20"/>
                <w:lang w:eastAsia="es-CR"/>
              </w:rPr>
            </w:pPr>
            <w:r w:rsidRPr="00623888">
              <w:rPr>
                <w:bCs/>
                <w:sz w:val="20"/>
                <w:szCs w:val="20"/>
                <w:lang w:eastAsia="es-CR"/>
              </w:rPr>
              <w:t>7) Cambio de Garantía</w:t>
            </w:r>
          </w:p>
          <w:p w:rsidR="00623888" w:rsidRPr="00623888" w:rsidRDefault="00623888" w:rsidP="00623888">
            <w:pPr>
              <w:spacing w:after="0" w:line="240" w:lineRule="auto"/>
              <w:jc w:val="both"/>
              <w:rPr>
                <w:b/>
                <w:bCs/>
                <w:sz w:val="20"/>
                <w:szCs w:val="20"/>
                <w:lang w:eastAsia="es-CR"/>
              </w:rPr>
            </w:pPr>
            <w:r w:rsidRPr="00623888">
              <w:rPr>
                <w:bCs/>
                <w:sz w:val="20"/>
                <w:szCs w:val="20"/>
                <w:lang w:eastAsia="es-CR"/>
              </w:rPr>
              <w:t>Hipoteca-Novación de deudor</w:t>
            </w:r>
          </w:p>
        </w:tc>
        <w:tc>
          <w:tcPr>
            <w:tcW w:w="1024" w:type="dxa"/>
            <w:tcBorders>
              <w:top w:val="single" w:sz="4" w:space="0" w:color="auto"/>
              <w:left w:val="single" w:sz="4" w:space="0" w:color="auto"/>
              <w:bottom w:val="single" w:sz="4" w:space="0" w:color="auto"/>
              <w:right w:val="single" w:sz="4" w:space="0" w:color="auto"/>
            </w:tcBorders>
            <w:vAlign w:val="center"/>
          </w:tcPr>
          <w:p w:rsidR="00623888" w:rsidRPr="00623888" w:rsidRDefault="00623888" w:rsidP="00623888">
            <w:pPr>
              <w:spacing w:after="0" w:line="240" w:lineRule="auto"/>
              <w:jc w:val="center"/>
              <w:rPr>
                <w:rFonts w:ascii="Arial" w:hAnsi="Arial" w:cs="Arial"/>
                <w:sz w:val="20"/>
                <w:szCs w:val="20"/>
              </w:rPr>
            </w:pPr>
            <w:r w:rsidRPr="00623888">
              <w:rPr>
                <w:rFonts w:ascii="Arial" w:hAnsi="Arial" w:cs="Arial"/>
                <w:sz w:val="20"/>
                <w:szCs w:val="20"/>
              </w:rPr>
              <w:t>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888" w:rsidRPr="00623888" w:rsidRDefault="00623888" w:rsidP="00623888">
            <w:pPr>
              <w:spacing w:after="0" w:line="240" w:lineRule="auto"/>
              <w:jc w:val="center"/>
              <w:rPr>
                <w:rFonts w:ascii="Arial" w:hAnsi="Arial" w:cs="Arial"/>
                <w:sz w:val="20"/>
                <w:szCs w:val="20"/>
              </w:rPr>
            </w:pPr>
          </w:p>
        </w:tc>
        <w:tc>
          <w:tcPr>
            <w:tcW w:w="2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3888" w:rsidRPr="00623888" w:rsidRDefault="00623888" w:rsidP="00623888">
            <w:pPr>
              <w:spacing w:after="0" w:line="240" w:lineRule="auto"/>
              <w:jc w:val="center"/>
              <w:rPr>
                <w:rFonts w:ascii="Arial" w:hAnsi="Arial" w:cs="Arial"/>
                <w:color w:val="FF0000"/>
                <w:sz w:val="20"/>
                <w:szCs w:val="20"/>
              </w:rPr>
            </w:pPr>
          </w:p>
        </w:tc>
      </w:tr>
      <w:tr w:rsidR="00623888" w:rsidRPr="00623888" w:rsidTr="00BC1A0F">
        <w:trPr>
          <w:trHeight w:val="315"/>
          <w:jc w:val="center"/>
        </w:trPr>
        <w:tc>
          <w:tcPr>
            <w:tcW w:w="33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888" w:rsidRPr="00623888" w:rsidRDefault="00623888" w:rsidP="00623888">
            <w:pPr>
              <w:spacing w:after="0" w:line="240" w:lineRule="auto"/>
              <w:jc w:val="center"/>
              <w:rPr>
                <w:b/>
                <w:bCs/>
                <w:sz w:val="20"/>
                <w:szCs w:val="20"/>
                <w:lang w:eastAsia="es-CR"/>
              </w:rPr>
            </w:pPr>
            <w:r w:rsidRPr="00623888">
              <w:rPr>
                <w:b/>
                <w:bCs/>
                <w:sz w:val="20"/>
                <w:szCs w:val="20"/>
                <w:lang w:eastAsia="es-CR"/>
              </w:rPr>
              <w:t>Total</w:t>
            </w:r>
          </w:p>
        </w:tc>
        <w:tc>
          <w:tcPr>
            <w:tcW w:w="1024" w:type="dxa"/>
            <w:tcBorders>
              <w:top w:val="single" w:sz="4" w:space="0" w:color="auto"/>
              <w:left w:val="single" w:sz="4" w:space="0" w:color="auto"/>
              <w:bottom w:val="single" w:sz="4" w:space="0" w:color="auto"/>
              <w:right w:val="single" w:sz="4" w:space="0" w:color="auto"/>
            </w:tcBorders>
            <w:vAlign w:val="center"/>
          </w:tcPr>
          <w:p w:rsidR="00623888" w:rsidRPr="00623888" w:rsidRDefault="00623888" w:rsidP="00623888">
            <w:pPr>
              <w:spacing w:after="0" w:line="240" w:lineRule="auto"/>
              <w:jc w:val="center"/>
              <w:rPr>
                <w:rFonts w:ascii="Arial" w:hAnsi="Arial" w:cs="Arial"/>
                <w:b/>
                <w:bCs/>
                <w:sz w:val="20"/>
                <w:szCs w:val="20"/>
              </w:rPr>
            </w:pPr>
            <w:r w:rsidRPr="00623888">
              <w:rPr>
                <w:rFonts w:ascii="Arial" w:hAnsi="Arial" w:cs="Arial"/>
                <w:b/>
                <w:bCs/>
                <w:sz w:val="20"/>
                <w:szCs w:val="20"/>
              </w:rPr>
              <w:t>529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3888" w:rsidRPr="00623888" w:rsidRDefault="00623888" w:rsidP="00623888">
            <w:pPr>
              <w:spacing w:after="0" w:line="240" w:lineRule="auto"/>
              <w:jc w:val="center"/>
              <w:rPr>
                <w:rFonts w:ascii="Arial" w:hAnsi="Arial" w:cs="Arial"/>
                <w:b/>
                <w:bCs/>
                <w:sz w:val="20"/>
                <w:szCs w:val="20"/>
              </w:rPr>
            </w:pPr>
            <w:r w:rsidRPr="00623888">
              <w:rPr>
                <w:rFonts w:ascii="Arial" w:hAnsi="Arial" w:cs="Arial"/>
                <w:b/>
                <w:bCs/>
                <w:sz w:val="20"/>
                <w:szCs w:val="20"/>
              </w:rPr>
              <w:t>17.278.670,9</w:t>
            </w:r>
          </w:p>
        </w:tc>
        <w:tc>
          <w:tcPr>
            <w:tcW w:w="2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888" w:rsidRPr="00623888" w:rsidRDefault="00623888" w:rsidP="00623888">
            <w:pPr>
              <w:spacing w:after="0" w:line="240" w:lineRule="auto"/>
              <w:jc w:val="center"/>
              <w:rPr>
                <w:rFonts w:ascii="Arial" w:hAnsi="Arial" w:cs="Arial"/>
                <w:sz w:val="20"/>
                <w:szCs w:val="20"/>
              </w:rPr>
            </w:pPr>
            <w:r w:rsidRPr="00623888">
              <w:rPr>
                <w:rFonts w:ascii="Arial" w:hAnsi="Arial" w:cs="Arial"/>
                <w:sz w:val="20"/>
                <w:szCs w:val="20"/>
              </w:rPr>
              <w:t>100%</w:t>
            </w:r>
          </w:p>
        </w:tc>
      </w:tr>
    </w:tbl>
    <w:p w:rsidR="00623888" w:rsidRDefault="00623888" w:rsidP="00623888">
      <w:pPr>
        <w:pStyle w:val="Textoindependiente"/>
        <w:spacing w:after="0" w:line="240" w:lineRule="auto"/>
        <w:rPr>
          <w:rFonts w:cs="Arial"/>
          <w:bCs/>
          <w:color w:val="000000"/>
          <w:sz w:val="20"/>
          <w:szCs w:val="20"/>
          <w:lang w:eastAsia="es-CR"/>
        </w:rPr>
      </w:pPr>
      <w:r w:rsidRPr="00623888">
        <w:rPr>
          <w:rFonts w:cs="Arial"/>
          <w:b/>
          <w:bCs/>
          <w:color w:val="000000"/>
          <w:sz w:val="20"/>
          <w:szCs w:val="20"/>
          <w:lang w:eastAsia="es-CR"/>
        </w:rPr>
        <w:t xml:space="preserve">     Nota </w:t>
      </w:r>
      <w:r w:rsidRPr="00623888">
        <w:rPr>
          <w:rFonts w:cs="Arial"/>
          <w:bCs/>
          <w:color w:val="000000"/>
          <w:sz w:val="20"/>
          <w:szCs w:val="20"/>
          <w:lang w:eastAsia="es-CR"/>
        </w:rPr>
        <w:t>Fuente: Informe de rendimiento de cuentas de área. (2017)</w:t>
      </w:r>
    </w:p>
    <w:p w:rsidR="00623888" w:rsidRPr="00623888" w:rsidRDefault="00623888" w:rsidP="00623888">
      <w:pPr>
        <w:pStyle w:val="Textoindependiente"/>
        <w:spacing w:after="0" w:line="240" w:lineRule="auto"/>
        <w:rPr>
          <w:rFonts w:cs="Arial"/>
          <w:bCs/>
          <w:color w:val="000000"/>
          <w:sz w:val="20"/>
          <w:szCs w:val="20"/>
          <w:lang w:eastAsia="es-CR"/>
        </w:rPr>
      </w:pPr>
    </w:p>
    <w:p w:rsidR="00623888" w:rsidRPr="0035377E" w:rsidRDefault="00623888" w:rsidP="00623888">
      <w:pPr>
        <w:spacing w:after="0" w:line="240" w:lineRule="auto"/>
        <w:jc w:val="center"/>
        <w:rPr>
          <w:rFonts w:cs="Arial"/>
          <w:bCs/>
          <w:color w:val="000000"/>
          <w:sz w:val="18"/>
          <w:szCs w:val="18"/>
          <w:lang w:eastAsia="es-CR"/>
        </w:rPr>
      </w:pPr>
      <w:r w:rsidRPr="00623888">
        <w:rPr>
          <w:rFonts w:ascii="Arial" w:hAnsi="Arial" w:cs="Arial"/>
          <w:bCs/>
          <w:sz w:val="20"/>
          <w:szCs w:val="20"/>
          <w:lang w:eastAsia="es-CR"/>
        </w:rPr>
        <w:fldChar w:fldCharType="begin"/>
      </w:r>
      <w:r w:rsidRPr="00623888">
        <w:rPr>
          <w:rFonts w:ascii="Arial" w:hAnsi="Arial" w:cs="Arial"/>
          <w:bCs/>
          <w:sz w:val="20"/>
          <w:szCs w:val="20"/>
          <w:lang w:eastAsia="es-CR"/>
        </w:rPr>
        <w:instrText xml:space="preserve"> LINK Excel.Sheet.12 "C:\\Users\\Mmartinez\\Documents\\Marta Martínez C\\Rendimiento de cuentas (año 2017)\\Rendimiento de Cuentas (Diciembre 2017)\\Gráficos\\Programa IV (M11oct2017).xlsx!I47.![Programa IV (M11oct2017).xlsx]I47. 5 Gráfico" "" \a \p \* MERGEFORMAT </w:instrText>
      </w:r>
      <w:r w:rsidRPr="00623888">
        <w:rPr>
          <w:rFonts w:ascii="Arial" w:hAnsi="Arial" w:cs="Arial"/>
          <w:bCs/>
          <w:sz w:val="20"/>
          <w:szCs w:val="20"/>
          <w:lang w:eastAsia="es-CR"/>
        </w:rPr>
        <w:fldChar w:fldCharType="separate"/>
      </w:r>
      <w:r w:rsidRPr="00623888">
        <w:rPr>
          <w:rFonts w:ascii="Arial" w:hAnsi="Arial" w:cs="Arial"/>
          <w:bCs/>
          <w:sz w:val="20"/>
          <w:szCs w:val="20"/>
          <w:lang w:eastAsia="es-CR"/>
        </w:rPr>
        <w:object w:dxaOrig="7875" w:dyaOrig="4950">
          <v:shape id="_x0000_i1071" type="#_x0000_t75" style="width:393.65pt;height:247.65pt" o:ole="">
            <v:imagedata r:id="rId25" o:title=""/>
          </v:shape>
        </w:object>
      </w:r>
      <w:r w:rsidRPr="00623888">
        <w:rPr>
          <w:rFonts w:ascii="Arial" w:hAnsi="Arial" w:cs="Arial"/>
          <w:bCs/>
          <w:sz w:val="20"/>
          <w:szCs w:val="20"/>
          <w:lang w:eastAsia="es-CR"/>
        </w:rPr>
        <w:fldChar w:fldCharType="end"/>
      </w:r>
      <w:r w:rsidR="0035377E">
        <w:rPr>
          <w:rFonts w:cs="Arial"/>
          <w:b/>
          <w:bCs/>
          <w:color w:val="000000"/>
          <w:sz w:val="20"/>
          <w:szCs w:val="20"/>
          <w:lang w:eastAsia="es-CR"/>
        </w:rPr>
        <w:t xml:space="preserve">          </w:t>
      </w:r>
      <w:r w:rsidRPr="0035377E">
        <w:rPr>
          <w:rFonts w:cs="Arial"/>
          <w:bCs/>
          <w:color w:val="000000"/>
          <w:sz w:val="18"/>
          <w:szCs w:val="18"/>
          <w:lang w:eastAsia="es-CR"/>
        </w:rPr>
        <w:t>Fuente: Informe de rendimiento de cuentas del área. (2017)</w:t>
      </w:r>
    </w:p>
    <w:p w:rsidR="00623888" w:rsidRDefault="00623888" w:rsidP="00623888">
      <w:pPr>
        <w:spacing w:after="0" w:line="240" w:lineRule="auto"/>
        <w:jc w:val="both"/>
        <w:rPr>
          <w:rFonts w:ascii="Arial" w:hAnsi="Arial" w:cs="Arial"/>
          <w:bCs/>
          <w:lang w:eastAsia="es-CR"/>
        </w:rPr>
      </w:pPr>
    </w:p>
    <w:p w:rsidR="00623888" w:rsidRDefault="00623888" w:rsidP="00623888">
      <w:pPr>
        <w:spacing w:after="0" w:line="240" w:lineRule="auto"/>
        <w:jc w:val="both"/>
        <w:rPr>
          <w:rFonts w:ascii="Arial" w:hAnsi="Arial" w:cs="Arial"/>
          <w:bCs/>
          <w:lang w:eastAsia="es-CR"/>
        </w:rPr>
      </w:pPr>
    </w:p>
    <w:p w:rsidR="00623888" w:rsidRDefault="00623888" w:rsidP="00623888">
      <w:pPr>
        <w:spacing w:after="0" w:line="240" w:lineRule="auto"/>
        <w:jc w:val="both"/>
        <w:rPr>
          <w:rFonts w:ascii="Arial" w:hAnsi="Arial" w:cs="Arial"/>
          <w:bCs/>
          <w:lang w:eastAsia="es-CR"/>
        </w:rPr>
      </w:pPr>
    </w:p>
    <w:p w:rsidR="00623888" w:rsidRPr="00623888" w:rsidRDefault="00623888" w:rsidP="00623888">
      <w:pPr>
        <w:spacing w:after="0" w:line="240" w:lineRule="auto"/>
        <w:jc w:val="both"/>
        <w:rPr>
          <w:rFonts w:ascii="Arial" w:hAnsi="Arial" w:cs="Arial"/>
          <w:b/>
          <w:bCs/>
          <w:sz w:val="20"/>
          <w:szCs w:val="20"/>
          <w:lang w:eastAsia="es-CR"/>
        </w:rPr>
      </w:pPr>
      <w:r w:rsidRPr="00623888">
        <w:rPr>
          <w:rFonts w:ascii="Arial" w:hAnsi="Arial" w:cs="Arial"/>
          <w:b/>
          <w:bCs/>
          <w:sz w:val="20"/>
          <w:szCs w:val="20"/>
          <w:lang w:eastAsia="es-CR"/>
        </w:rPr>
        <w:t xml:space="preserve">No. 2 Gestión de Productos con diversas fuentes de ingresos </w:t>
      </w:r>
    </w:p>
    <w:p w:rsidR="00623888" w:rsidRPr="00623888" w:rsidRDefault="00623888" w:rsidP="00623888">
      <w:pPr>
        <w:spacing w:after="0" w:line="240" w:lineRule="auto"/>
        <w:jc w:val="both"/>
        <w:rPr>
          <w:rFonts w:ascii="Arial" w:hAnsi="Arial" w:cs="Arial"/>
          <w:bCs/>
          <w:sz w:val="20"/>
          <w:szCs w:val="20"/>
          <w:lang w:eastAsia="es-CR"/>
        </w:rPr>
      </w:pPr>
    </w:p>
    <w:p w:rsidR="00623888" w:rsidRPr="00623888" w:rsidRDefault="00623888" w:rsidP="00623888">
      <w:pPr>
        <w:spacing w:after="0" w:line="240" w:lineRule="auto"/>
        <w:jc w:val="both"/>
        <w:rPr>
          <w:rFonts w:ascii="Arial" w:hAnsi="Arial" w:cs="Arial"/>
          <w:bCs/>
          <w:sz w:val="20"/>
          <w:szCs w:val="20"/>
          <w:lang w:eastAsia="es-CR"/>
        </w:rPr>
      </w:pPr>
      <w:r w:rsidRPr="00623888">
        <w:rPr>
          <w:rFonts w:ascii="Arial" w:hAnsi="Arial" w:cs="Arial"/>
          <w:bCs/>
          <w:sz w:val="20"/>
          <w:szCs w:val="20"/>
          <w:lang w:eastAsia="es-CR"/>
        </w:rPr>
        <w:t>Este subprograma incluye el otorgamiento de soluciones de vivienda para los estratos de población de clase media e interés social, financiados con recursos propios.</w:t>
      </w:r>
    </w:p>
    <w:p w:rsidR="00623888" w:rsidRPr="00623888" w:rsidRDefault="00623888" w:rsidP="00623888">
      <w:pPr>
        <w:spacing w:after="0" w:line="240" w:lineRule="auto"/>
        <w:jc w:val="both"/>
        <w:rPr>
          <w:rFonts w:ascii="Arial" w:hAnsi="Arial" w:cs="Arial"/>
          <w:b/>
          <w:bCs/>
          <w:sz w:val="20"/>
          <w:szCs w:val="20"/>
          <w:lang w:eastAsia="es-CR"/>
        </w:rPr>
      </w:pPr>
    </w:p>
    <w:p w:rsidR="00623888" w:rsidRPr="00623888" w:rsidRDefault="00623888" w:rsidP="00623888">
      <w:pPr>
        <w:spacing w:after="0" w:line="240" w:lineRule="auto"/>
        <w:jc w:val="both"/>
        <w:rPr>
          <w:rFonts w:ascii="Arial" w:hAnsi="Arial" w:cs="Arial"/>
          <w:b/>
          <w:bCs/>
          <w:sz w:val="20"/>
          <w:szCs w:val="20"/>
          <w:lang w:eastAsia="es-CR"/>
        </w:rPr>
      </w:pPr>
      <w:r w:rsidRPr="00623888">
        <w:rPr>
          <w:rFonts w:ascii="Arial" w:hAnsi="Arial" w:cs="Arial"/>
          <w:b/>
          <w:bCs/>
          <w:sz w:val="20"/>
          <w:szCs w:val="20"/>
          <w:lang w:eastAsia="es-CR"/>
        </w:rPr>
        <w:t>a) Clase media  (recursos propios)</w:t>
      </w:r>
    </w:p>
    <w:p w:rsidR="00623888" w:rsidRPr="00623888" w:rsidRDefault="00623888" w:rsidP="00623888">
      <w:pPr>
        <w:spacing w:after="0" w:line="240" w:lineRule="auto"/>
        <w:jc w:val="both"/>
        <w:rPr>
          <w:rFonts w:ascii="Arial" w:hAnsi="Arial" w:cs="Arial"/>
          <w:b/>
          <w:bCs/>
          <w:sz w:val="20"/>
          <w:szCs w:val="20"/>
          <w:lang w:eastAsia="es-CR"/>
        </w:rPr>
      </w:pPr>
    </w:p>
    <w:p w:rsidR="00623888" w:rsidRPr="00623888" w:rsidRDefault="00623888" w:rsidP="00623888">
      <w:pPr>
        <w:spacing w:after="0" w:line="240" w:lineRule="auto"/>
        <w:jc w:val="both"/>
        <w:rPr>
          <w:rFonts w:ascii="Arial" w:hAnsi="Arial" w:cs="Arial"/>
          <w:b/>
          <w:bCs/>
          <w:sz w:val="20"/>
          <w:szCs w:val="20"/>
          <w:lang w:eastAsia="es-CR"/>
        </w:rPr>
      </w:pPr>
      <w:r w:rsidRPr="00623888">
        <w:rPr>
          <w:rFonts w:ascii="Arial" w:hAnsi="Arial" w:cs="Arial"/>
          <w:b/>
          <w:bCs/>
          <w:sz w:val="20"/>
          <w:szCs w:val="20"/>
          <w:lang w:eastAsia="es-CR"/>
        </w:rPr>
        <w:t>Indicador 48. Cantidad de solicitudes aprobadas en créditos de clase media</w:t>
      </w:r>
    </w:p>
    <w:p w:rsidR="00623888" w:rsidRPr="00623888" w:rsidRDefault="00623888" w:rsidP="00623888">
      <w:pPr>
        <w:pStyle w:val="Textoindependiente"/>
        <w:spacing w:after="0" w:line="240" w:lineRule="auto"/>
        <w:jc w:val="both"/>
        <w:rPr>
          <w:rFonts w:ascii="Arial" w:hAnsi="Arial" w:cs="Arial"/>
          <w:b/>
          <w:bCs/>
          <w:color w:val="000000"/>
          <w:sz w:val="20"/>
          <w:szCs w:val="20"/>
          <w:lang w:eastAsia="es-CR"/>
        </w:rPr>
      </w:pPr>
    </w:p>
    <w:p w:rsidR="00623888" w:rsidRPr="00623888" w:rsidRDefault="00623888" w:rsidP="00623888">
      <w:pPr>
        <w:spacing w:after="0" w:line="240" w:lineRule="auto"/>
        <w:jc w:val="both"/>
        <w:rPr>
          <w:rFonts w:ascii="Arial" w:hAnsi="Arial" w:cs="Arial"/>
          <w:bCs/>
          <w:color w:val="000000"/>
          <w:sz w:val="20"/>
          <w:szCs w:val="20"/>
          <w:lang w:eastAsia="es-CR"/>
        </w:rPr>
      </w:pPr>
      <w:r w:rsidRPr="00623888">
        <w:rPr>
          <w:rFonts w:ascii="Arial" w:hAnsi="Arial" w:cs="Arial"/>
          <w:bCs/>
          <w:color w:val="000000"/>
          <w:sz w:val="20"/>
          <w:szCs w:val="20"/>
          <w:lang w:eastAsia="es-CR"/>
        </w:rPr>
        <w:t>A diciembre se aprobaron 42 solicitudes de clase media, que representan el 52% de la meta anual establecida en 81 solicitudes, como se puede observar en el cuadro y gráfico siguiente.</w:t>
      </w:r>
    </w:p>
    <w:p w:rsidR="00623888" w:rsidRPr="00623888" w:rsidRDefault="00623888" w:rsidP="00623888">
      <w:pPr>
        <w:spacing w:after="0" w:line="240" w:lineRule="auto"/>
        <w:jc w:val="both"/>
        <w:rPr>
          <w:rFonts w:ascii="Arial" w:hAnsi="Arial" w:cs="Arial"/>
          <w:bCs/>
          <w:color w:val="000000"/>
          <w:sz w:val="20"/>
          <w:szCs w:val="20"/>
          <w:lang w:eastAsia="es-CR"/>
        </w:rPr>
      </w:pPr>
    </w:p>
    <w:p w:rsidR="00623888" w:rsidRPr="00623888" w:rsidRDefault="00623888" w:rsidP="00623888">
      <w:pPr>
        <w:spacing w:after="0" w:line="240" w:lineRule="auto"/>
        <w:jc w:val="both"/>
        <w:rPr>
          <w:rFonts w:ascii="Arial" w:hAnsi="Arial" w:cs="Arial"/>
          <w:bCs/>
          <w:color w:val="000000"/>
          <w:sz w:val="20"/>
          <w:szCs w:val="20"/>
          <w:lang w:eastAsia="es-CR"/>
        </w:rPr>
      </w:pPr>
      <w:r w:rsidRPr="00623888">
        <w:rPr>
          <w:rFonts w:ascii="Arial" w:hAnsi="Arial" w:cs="Arial"/>
          <w:bCs/>
          <w:color w:val="000000"/>
          <w:sz w:val="20"/>
          <w:szCs w:val="20"/>
          <w:lang w:eastAsia="es-CR"/>
        </w:rPr>
        <w:t xml:space="preserve">El monto de las solicitudes aprobadas fue de ¢1.576,3 millones, lo que representa el 69% del presupuesto total por ¢2.300,0 millones. </w:t>
      </w:r>
    </w:p>
    <w:p w:rsidR="00623888" w:rsidRPr="00623888" w:rsidRDefault="00623888" w:rsidP="00623888">
      <w:pPr>
        <w:spacing w:after="0" w:line="240" w:lineRule="auto"/>
        <w:jc w:val="both"/>
        <w:rPr>
          <w:rFonts w:ascii="Arial" w:hAnsi="Arial" w:cs="Arial"/>
          <w:bCs/>
          <w:color w:val="FF0000"/>
          <w:sz w:val="20"/>
          <w:szCs w:val="20"/>
          <w:lang w:eastAsia="es-CR"/>
        </w:rPr>
      </w:pPr>
    </w:p>
    <w:p w:rsidR="00623888" w:rsidRPr="00623888" w:rsidRDefault="00623888" w:rsidP="00623888">
      <w:pPr>
        <w:spacing w:after="0" w:line="240" w:lineRule="auto"/>
        <w:jc w:val="both"/>
        <w:rPr>
          <w:rFonts w:ascii="Arial" w:hAnsi="Arial" w:cs="Arial"/>
          <w:bCs/>
          <w:sz w:val="20"/>
          <w:szCs w:val="20"/>
          <w:lang w:eastAsia="es-CR"/>
        </w:rPr>
      </w:pPr>
    </w:p>
    <w:p w:rsidR="00623888" w:rsidRPr="00623888" w:rsidRDefault="00623888" w:rsidP="00623888">
      <w:pPr>
        <w:spacing w:after="0" w:line="240" w:lineRule="auto"/>
        <w:jc w:val="both"/>
        <w:rPr>
          <w:rFonts w:ascii="Arial" w:hAnsi="Arial" w:cs="Arial"/>
          <w:bCs/>
          <w:sz w:val="20"/>
          <w:szCs w:val="20"/>
          <w:lang w:eastAsia="es-CR"/>
        </w:rPr>
      </w:pPr>
    </w:p>
    <w:p w:rsidR="00623888" w:rsidRPr="00623888" w:rsidRDefault="00623888" w:rsidP="00623888">
      <w:pPr>
        <w:spacing w:after="0" w:line="240" w:lineRule="auto"/>
        <w:jc w:val="center"/>
        <w:rPr>
          <w:rFonts w:ascii="Arial" w:hAnsi="Arial" w:cs="Arial"/>
          <w:b/>
          <w:bCs/>
          <w:sz w:val="20"/>
          <w:szCs w:val="20"/>
          <w:lang w:eastAsia="es-CR"/>
        </w:rPr>
      </w:pPr>
      <w:r w:rsidRPr="00623888">
        <w:rPr>
          <w:rFonts w:ascii="Arial" w:hAnsi="Arial" w:cs="Arial"/>
          <w:b/>
          <w:bCs/>
          <w:sz w:val="20"/>
          <w:szCs w:val="20"/>
          <w:lang w:eastAsia="es-CR"/>
        </w:rPr>
        <w:t>Cuadro 1</w:t>
      </w:r>
      <w:r w:rsidR="00BC1DD5">
        <w:rPr>
          <w:rFonts w:ascii="Arial" w:hAnsi="Arial" w:cs="Arial"/>
          <w:b/>
          <w:bCs/>
          <w:sz w:val="20"/>
          <w:szCs w:val="20"/>
          <w:lang w:eastAsia="es-CR"/>
        </w:rPr>
        <w:t>4</w:t>
      </w:r>
      <w:r w:rsidRPr="00623888">
        <w:rPr>
          <w:rFonts w:ascii="Arial" w:hAnsi="Arial" w:cs="Arial"/>
          <w:b/>
          <w:bCs/>
          <w:sz w:val="20"/>
          <w:szCs w:val="20"/>
          <w:lang w:eastAsia="es-CR"/>
        </w:rPr>
        <w:t xml:space="preserve"> Cantidad de solicitudes aprobadas en créditos </w:t>
      </w:r>
    </w:p>
    <w:p w:rsidR="00623888" w:rsidRPr="00623888" w:rsidRDefault="00623888" w:rsidP="00623888">
      <w:pPr>
        <w:spacing w:after="0" w:line="240" w:lineRule="auto"/>
        <w:jc w:val="center"/>
        <w:rPr>
          <w:rFonts w:ascii="Arial" w:hAnsi="Arial" w:cs="Arial"/>
          <w:b/>
          <w:bCs/>
          <w:sz w:val="20"/>
          <w:szCs w:val="20"/>
          <w:lang w:eastAsia="es-CR"/>
        </w:rPr>
      </w:pPr>
      <w:r w:rsidRPr="00623888">
        <w:rPr>
          <w:rFonts w:ascii="Arial" w:hAnsi="Arial" w:cs="Arial"/>
          <w:b/>
          <w:bCs/>
          <w:sz w:val="20"/>
          <w:szCs w:val="20"/>
          <w:lang w:eastAsia="es-CR"/>
        </w:rPr>
        <w:t>clase media</w:t>
      </w:r>
    </w:p>
    <w:p w:rsidR="00623888" w:rsidRPr="00623888" w:rsidRDefault="00623888" w:rsidP="00623888">
      <w:pPr>
        <w:spacing w:after="0" w:line="240" w:lineRule="auto"/>
        <w:jc w:val="center"/>
        <w:rPr>
          <w:rFonts w:ascii="Arial" w:hAnsi="Arial" w:cs="Arial"/>
          <w:b/>
          <w:bCs/>
          <w:sz w:val="20"/>
          <w:szCs w:val="20"/>
          <w:lang w:eastAsia="es-CR"/>
        </w:rPr>
      </w:pPr>
      <w:r w:rsidRPr="00623888">
        <w:rPr>
          <w:rFonts w:ascii="Arial" w:hAnsi="Arial" w:cs="Arial"/>
          <w:b/>
          <w:bCs/>
          <w:sz w:val="20"/>
          <w:szCs w:val="20"/>
          <w:lang w:eastAsia="es-CR"/>
        </w:rPr>
        <w:t>(Enero – diciembre 2017)</w:t>
      </w:r>
    </w:p>
    <w:tbl>
      <w:tblPr>
        <w:tblW w:w="3958" w:type="dxa"/>
        <w:jc w:val="center"/>
        <w:tblCellMar>
          <w:left w:w="70" w:type="dxa"/>
          <w:right w:w="70" w:type="dxa"/>
        </w:tblCellMar>
        <w:tblLook w:val="04A0" w:firstRow="1" w:lastRow="0" w:firstColumn="1" w:lastColumn="0" w:noHBand="0" w:noVBand="1"/>
      </w:tblPr>
      <w:tblGrid>
        <w:gridCol w:w="1930"/>
        <w:gridCol w:w="2028"/>
      </w:tblGrid>
      <w:tr w:rsidR="00623888" w:rsidRPr="00623888" w:rsidTr="00BC1A0F">
        <w:trPr>
          <w:trHeight w:val="1153"/>
          <w:jc w:val="center"/>
        </w:trPr>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3888" w:rsidRPr="00623888" w:rsidRDefault="00623888" w:rsidP="00623888">
            <w:pPr>
              <w:spacing w:after="0" w:line="240" w:lineRule="auto"/>
              <w:jc w:val="center"/>
              <w:rPr>
                <w:rFonts w:ascii="Arial" w:hAnsi="Arial" w:cs="Arial"/>
                <w:b/>
                <w:bCs/>
                <w:sz w:val="20"/>
                <w:szCs w:val="20"/>
                <w:highlight w:val="yellow"/>
                <w:lang w:eastAsia="es-CR"/>
              </w:rPr>
            </w:pPr>
            <w:r w:rsidRPr="00623888">
              <w:rPr>
                <w:rFonts w:ascii="Arial" w:hAnsi="Arial" w:cs="Arial"/>
                <w:b/>
                <w:bCs/>
                <w:sz w:val="20"/>
                <w:szCs w:val="20"/>
                <w:lang w:eastAsia="es-CR"/>
              </w:rPr>
              <w:t>Meta</w:t>
            </w:r>
            <w:r w:rsidRPr="00623888">
              <w:rPr>
                <w:rFonts w:ascii="Arial" w:hAnsi="Arial" w:cs="Arial"/>
                <w:b/>
                <w:bCs/>
                <w:sz w:val="20"/>
                <w:szCs w:val="20"/>
                <w:lang w:eastAsia="es-CR"/>
              </w:rPr>
              <w:br/>
              <w:t>(Anual)</w:t>
            </w:r>
          </w:p>
        </w:tc>
        <w:tc>
          <w:tcPr>
            <w:tcW w:w="2028" w:type="dxa"/>
            <w:tcBorders>
              <w:top w:val="single" w:sz="8" w:space="0" w:color="auto"/>
              <w:left w:val="nil"/>
              <w:bottom w:val="single" w:sz="4" w:space="0" w:color="auto"/>
              <w:right w:val="single" w:sz="4" w:space="0" w:color="auto"/>
            </w:tcBorders>
            <w:shd w:val="clear" w:color="auto" w:fill="auto"/>
            <w:vAlign w:val="center"/>
            <w:hideMark/>
          </w:tcPr>
          <w:p w:rsidR="00623888" w:rsidRPr="00623888" w:rsidRDefault="00623888" w:rsidP="00623888">
            <w:pPr>
              <w:spacing w:after="0" w:line="240" w:lineRule="auto"/>
              <w:jc w:val="center"/>
              <w:rPr>
                <w:rFonts w:ascii="Arial" w:hAnsi="Arial" w:cs="Arial"/>
                <w:b/>
                <w:bCs/>
                <w:sz w:val="20"/>
                <w:szCs w:val="20"/>
                <w:lang w:eastAsia="es-CR"/>
              </w:rPr>
            </w:pPr>
            <w:r w:rsidRPr="00623888">
              <w:rPr>
                <w:rFonts w:ascii="Arial" w:hAnsi="Arial" w:cs="Arial"/>
                <w:b/>
                <w:bCs/>
                <w:sz w:val="20"/>
                <w:szCs w:val="20"/>
                <w:lang w:eastAsia="es-CR"/>
              </w:rPr>
              <w:t>Ejecución</w:t>
            </w:r>
            <w:r w:rsidRPr="00623888">
              <w:rPr>
                <w:rFonts w:ascii="Arial" w:hAnsi="Arial" w:cs="Arial"/>
                <w:b/>
                <w:bCs/>
                <w:sz w:val="20"/>
                <w:szCs w:val="20"/>
                <w:lang w:eastAsia="es-CR"/>
              </w:rPr>
              <w:br/>
              <w:t>(Enero - diciembre)</w:t>
            </w:r>
          </w:p>
        </w:tc>
      </w:tr>
      <w:tr w:rsidR="00623888" w:rsidRPr="00623888" w:rsidTr="00BC1A0F">
        <w:trPr>
          <w:trHeight w:val="577"/>
          <w:jc w:val="center"/>
        </w:trPr>
        <w:tc>
          <w:tcPr>
            <w:tcW w:w="1930" w:type="dxa"/>
            <w:tcBorders>
              <w:top w:val="nil"/>
              <w:left w:val="single" w:sz="4" w:space="0" w:color="auto"/>
              <w:bottom w:val="single" w:sz="4" w:space="0" w:color="auto"/>
              <w:right w:val="single" w:sz="4" w:space="0" w:color="auto"/>
            </w:tcBorders>
            <w:shd w:val="clear" w:color="auto" w:fill="auto"/>
            <w:noWrap/>
            <w:vAlign w:val="center"/>
            <w:hideMark/>
          </w:tcPr>
          <w:p w:rsidR="00623888" w:rsidRPr="00623888" w:rsidRDefault="00623888" w:rsidP="00623888">
            <w:pPr>
              <w:spacing w:after="0" w:line="240" w:lineRule="auto"/>
              <w:jc w:val="center"/>
              <w:rPr>
                <w:rFonts w:ascii="Arial" w:hAnsi="Arial" w:cs="Arial"/>
                <w:sz w:val="20"/>
                <w:szCs w:val="20"/>
                <w:lang w:eastAsia="es-CR"/>
              </w:rPr>
            </w:pPr>
            <w:r w:rsidRPr="00623888">
              <w:rPr>
                <w:rFonts w:ascii="Arial" w:hAnsi="Arial" w:cs="Arial"/>
                <w:sz w:val="20"/>
                <w:szCs w:val="20"/>
                <w:lang w:eastAsia="es-CR"/>
              </w:rPr>
              <w:t>81</w:t>
            </w:r>
          </w:p>
        </w:tc>
        <w:tc>
          <w:tcPr>
            <w:tcW w:w="2028" w:type="dxa"/>
            <w:tcBorders>
              <w:top w:val="nil"/>
              <w:left w:val="nil"/>
              <w:bottom w:val="single" w:sz="4" w:space="0" w:color="auto"/>
              <w:right w:val="single" w:sz="4" w:space="0" w:color="auto"/>
            </w:tcBorders>
            <w:shd w:val="clear" w:color="auto" w:fill="auto"/>
            <w:noWrap/>
            <w:vAlign w:val="center"/>
            <w:hideMark/>
          </w:tcPr>
          <w:p w:rsidR="00623888" w:rsidRPr="00623888" w:rsidRDefault="00623888" w:rsidP="00623888">
            <w:pPr>
              <w:spacing w:after="0" w:line="240" w:lineRule="auto"/>
              <w:jc w:val="center"/>
              <w:rPr>
                <w:rFonts w:ascii="Arial" w:hAnsi="Arial" w:cs="Arial"/>
                <w:sz w:val="20"/>
                <w:szCs w:val="20"/>
                <w:lang w:eastAsia="es-CR"/>
              </w:rPr>
            </w:pPr>
          </w:p>
          <w:p w:rsidR="00623888" w:rsidRPr="00623888" w:rsidRDefault="00623888" w:rsidP="00623888">
            <w:pPr>
              <w:spacing w:after="0" w:line="240" w:lineRule="auto"/>
              <w:jc w:val="center"/>
              <w:rPr>
                <w:rFonts w:ascii="Arial" w:hAnsi="Arial" w:cs="Arial"/>
                <w:sz w:val="20"/>
                <w:szCs w:val="20"/>
                <w:lang w:eastAsia="es-CR"/>
              </w:rPr>
            </w:pPr>
            <w:r w:rsidRPr="00623888">
              <w:rPr>
                <w:rFonts w:ascii="Arial" w:hAnsi="Arial" w:cs="Arial"/>
                <w:sz w:val="20"/>
                <w:szCs w:val="20"/>
                <w:lang w:eastAsia="es-CR"/>
              </w:rPr>
              <w:t>42</w:t>
            </w:r>
          </w:p>
          <w:p w:rsidR="00623888" w:rsidRPr="00623888" w:rsidRDefault="00623888" w:rsidP="00623888">
            <w:pPr>
              <w:spacing w:after="0" w:line="240" w:lineRule="auto"/>
              <w:jc w:val="center"/>
              <w:rPr>
                <w:rFonts w:ascii="Arial" w:hAnsi="Arial" w:cs="Arial"/>
                <w:sz w:val="20"/>
                <w:szCs w:val="20"/>
                <w:lang w:eastAsia="es-CR"/>
              </w:rPr>
            </w:pPr>
          </w:p>
        </w:tc>
      </w:tr>
    </w:tbl>
    <w:p w:rsidR="00623888" w:rsidRPr="001E2626" w:rsidRDefault="00623888" w:rsidP="00623888">
      <w:pPr>
        <w:pStyle w:val="Textoindependiente"/>
        <w:spacing w:after="0" w:line="240" w:lineRule="auto"/>
        <w:rPr>
          <w:rFonts w:ascii="Arial" w:hAnsi="Arial" w:cs="Arial"/>
          <w:bCs/>
          <w:color w:val="000000"/>
          <w:sz w:val="18"/>
          <w:szCs w:val="18"/>
          <w:lang w:eastAsia="es-CR"/>
        </w:rPr>
      </w:pPr>
      <w:r w:rsidRPr="001E2626">
        <w:rPr>
          <w:rFonts w:ascii="Arial" w:hAnsi="Arial" w:cs="Arial"/>
          <w:b/>
          <w:bCs/>
          <w:color w:val="000000"/>
          <w:sz w:val="18"/>
          <w:szCs w:val="18"/>
          <w:lang w:eastAsia="es-CR"/>
        </w:rPr>
        <w:t xml:space="preserve">                              </w:t>
      </w:r>
      <w:r w:rsidR="001E2626">
        <w:rPr>
          <w:rFonts w:ascii="Arial" w:hAnsi="Arial" w:cs="Arial"/>
          <w:b/>
          <w:bCs/>
          <w:color w:val="000000"/>
          <w:sz w:val="18"/>
          <w:szCs w:val="18"/>
          <w:lang w:eastAsia="es-CR"/>
        </w:rPr>
        <w:t xml:space="preserve">    </w:t>
      </w:r>
      <w:r w:rsidRPr="001E2626">
        <w:rPr>
          <w:rFonts w:ascii="Arial" w:hAnsi="Arial" w:cs="Arial"/>
          <w:b/>
          <w:bCs/>
          <w:color w:val="000000"/>
          <w:sz w:val="18"/>
          <w:szCs w:val="18"/>
          <w:lang w:eastAsia="es-CR"/>
        </w:rPr>
        <w:t xml:space="preserve">  </w:t>
      </w:r>
      <w:r w:rsidRPr="001E2626">
        <w:rPr>
          <w:rFonts w:ascii="Arial" w:hAnsi="Arial" w:cs="Arial"/>
          <w:bCs/>
          <w:color w:val="000000"/>
          <w:sz w:val="18"/>
          <w:szCs w:val="18"/>
          <w:lang w:eastAsia="es-CR"/>
        </w:rPr>
        <w:t>Fuente: Informe de rendimiento de cuentas de área. (2017)</w:t>
      </w:r>
    </w:p>
    <w:p w:rsidR="00623888" w:rsidRPr="00623888" w:rsidRDefault="00623888" w:rsidP="00623888">
      <w:pPr>
        <w:spacing w:after="0" w:line="240" w:lineRule="auto"/>
        <w:jc w:val="both"/>
        <w:rPr>
          <w:rFonts w:ascii="Arial" w:hAnsi="Arial" w:cs="Arial"/>
          <w:bCs/>
          <w:sz w:val="20"/>
          <w:szCs w:val="20"/>
          <w:lang w:eastAsia="es-CR"/>
        </w:rPr>
      </w:pPr>
    </w:p>
    <w:p w:rsidR="00623888" w:rsidRPr="00623888" w:rsidRDefault="00623888" w:rsidP="00623888">
      <w:pPr>
        <w:spacing w:after="0" w:line="240" w:lineRule="auto"/>
        <w:jc w:val="center"/>
        <w:rPr>
          <w:rFonts w:ascii="Arial" w:hAnsi="Arial" w:cs="Arial"/>
          <w:bCs/>
          <w:color w:val="000000"/>
          <w:sz w:val="20"/>
          <w:szCs w:val="20"/>
          <w:lang w:eastAsia="es-CR"/>
        </w:rPr>
      </w:pPr>
      <w:r w:rsidRPr="00623888">
        <w:rPr>
          <w:rFonts w:ascii="Arial" w:hAnsi="Arial" w:cs="Arial"/>
          <w:bCs/>
          <w:color w:val="000000"/>
          <w:sz w:val="20"/>
          <w:szCs w:val="20"/>
          <w:lang w:eastAsia="es-CR"/>
        </w:rPr>
        <w:fldChar w:fldCharType="begin"/>
      </w:r>
      <w:r w:rsidRPr="00623888">
        <w:rPr>
          <w:rFonts w:ascii="Arial" w:hAnsi="Arial" w:cs="Arial"/>
          <w:bCs/>
          <w:color w:val="000000"/>
          <w:sz w:val="20"/>
          <w:szCs w:val="20"/>
          <w:lang w:eastAsia="es-CR"/>
        </w:rPr>
        <w:instrText xml:space="preserve"> LINK Excel.Sheet.12 "C:\\Users\\Mmartinez\\Documents\\Marta Martínez C\\Rendimiento de cuentas (año 2017)\\Rendimiento de Cuentas (Diciembre 2017)\\Gráficos\\Programa IV (M11oct2017).xlsx!I48![Programa IV (M11oct2017).xlsx]I48 2 Gráfico" "" \a \p \* MERGEFORMAT </w:instrText>
      </w:r>
      <w:r w:rsidRPr="00623888">
        <w:rPr>
          <w:rFonts w:ascii="Arial" w:hAnsi="Arial" w:cs="Arial"/>
          <w:bCs/>
          <w:color w:val="000000"/>
          <w:sz w:val="20"/>
          <w:szCs w:val="20"/>
          <w:lang w:eastAsia="es-CR"/>
        </w:rPr>
        <w:fldChar w:fldCharType="separate"/>
      </w:r>
      <w:r w:rsidRPr="00623888">
        <w:rPr>
          <w:rFonts w:ascii="Arial" w:hAnsi="Arial" w:cs="Arial"/>
          <w:bCs/>
          <w:color w:val="000000"/>
          <w:sz w:val="20"/>
          <w:szCs w:val="20"/>
          <w:lang w:eastAsia="es-CR"/>
        </w:rPr>
        <w:object w:dxaOrig="7426" w:dyaOrig="4260">
          <v:shape id="_x0000_i1072" type="#_x0000_t75" style="width:344.5pt;height:197.15pt" o:ole="">
            <v:imagedata r:id="rId26" o:title=""/>
          </v:shape>
        </w:object>
      </w:r>
      <w:r w:rsidRPr="00623888">
        <w:rPr>
          <w:rFonts w:ascii="Arial" w:hAnsi="Arial" w:cs="Arial"/>
          <w:bCs/>
          <w:color w:val="000000"/>
          <w:sz w:val="20"/>
          <w:szCs w:val="20"/>
          <w:lang w:eastAsia="es-CR"/>
        </w:rPr>
        <w:fldChar w:fldCharType="end"/>
      </w:r>
    </w:p>
    <w:p w:rsidR="00623888" w:rsidRPr="001E2626" w:rsidRDefault="00623888" w:rsidP="00623888">
      <w:pPr>
        <w:pStyle w:val="Textoindependiente"/>
        <w:spacing w:after="0" w:line="240" w:lineRule="auto"/>
        <w:rPr>
          <w:rFonts w:ascii="Arial" w:hAnsi="Arial" w:cs="Arial"/>
          <w:bCs/>
          <w:color w:val="000000"/>
          <w:sz w:val="18"/>
          <w:szCs w:val="18"/>
          <w:lang w:eastAsia="es-CR"/>
        </w:rPr>
      </w:pPr>
      <w:r w:rsidRPr="001E2626">
        <w:rPr>
          <w:rFonts w:ascii="Arial" w:hAnsi="Arial" w:cs="Arial"/>
          <w:b/>
          <w:bCs/>
          <w:color w:val="000000"/>
          <w:sz w:val="18"/>
          <w:szCs w:val="18"/>
          <w:lang w:eastAsia="es-CR"/>
        </w:rPr>
        <w:t xml:space="preserve">                       </w:t>
      </w:r>
      <w:r w:rsidRPr="001E2626">
        <w:rPr>
          <w:rFonts w:ascii="Arial" w:hAnsi="Arial" w:cs="Arial"/>
          <w:bCs/>
          <w:color w:val="000000"/>
          <w:sz w:val="18"/>
          <w:szCs w:val="18"/>
          <w:lang w:eastAsia="es-CR"/>
        </w:rPr>
        <w:t>Fuente: Informe de rendimiento de cuentas del área. (2017)</w:t>
      </w:r>
    </w:p>
    <w:p w:rsidR="00623888" w:rsidRDefault="00623888" w:rsidP="00623888">
      <w:pPr>
        <w:pStyle w:val="Textoindependiente"/>
        <w:spacing w:after="0" w:line="240" w:lineRule="auto"/>
        <w:rPr>
          <w:rFonts w:cs="Arial"/>
          <w:bCs/>
          <w:color w:val="000000"/>
          <w:sz w:val="18"/>
          <w:szCs w:val="18"/>
          <w:lang w:eastAsia="es-CR"/>
        </w:rPr>
      </w:pPr>
    </w:p>
    <w:p w:rsidR="00623888" w:rsidRPr="00623888" w:rsidRDefault="00623888" w:rsidP="00623888">
      <w:pPr>
        <w:spacing w:after="0" w:line="240" w:lineRule="auto"/>
        <w:jc w:val="both"/>
        <w:rPr>
          <w:rFonts w:ascii="Arial" w:hAnsi="Arial" w:cs="Arial"/>
          <w:b/>
          <w:bCs/>
          <w:sz w:val="20"/>
          <w:szCs w:val="20"/>
          <w:lang w:eastAsia="es-CR"/>
        </w:rPr>
      </w:pPr>
      <w:r w:rsidRPr="00623888">
        <w:rPr>
          <w:rFonts w:ascii="Arial" w:hAnsi="Arial" w:cs="Arial"/>
          <w:b/>
          <w:bCs/>
          <w:sz w:val="20"/>
          <w:szCs w:val="20"/>
          <w:lang w:eastAsia="es-CR"/>
        </w:rPr>
        <w:t>b) Interés Social (recursos provenientes del Banco Hipotecario de la Vivienda BANHVI)</w:t>
      </w:r>
    </w:p>
    <w:p w:rsidR="00623888" w:rsidRPr="00623888" w:rsidRDefault="00623888" w:rsidP="00623888">
      <w:pPr>
        <w:spacing w:after="0" w:line="240" w:lineRule="auto"/>
        <w:jc w:val="both"/>
        <w:rPr>
          <w:rFonts w:ascii="Arial" w:hAnsi="Arial" w:cs="Arial"/>
          <w:b/>
          <w:bCs/>
          <w:color w:val="000000"/>
          <w:sz w:val="20"/>
          <w:szCs w:val="20"/>
          <w:lang w:eastAsia="es-CR"/>
        </w:rPr>
      </w:pPr>
    </w:p>
    <w:p w:rsidR="00623888" w:rsidRPr="00623888" w:rsidRDefault="00623888" w:rsidP="00623888">
      <w:pPr>
        <w:spacing w:after="0" w:line="240" w:lineRule="auto"/>
        <w:jc w:val="both"/>
        <w:rPr>
          <w:rFonts w:ascii="Arial" w:hAnsi="Arial" w:cs="Arial"/>
          <w:b/>
          <w:bCs/>
          <w:color w:val="000000"/>
          <w:sz w:val="20"/>
          <w:szCs w:val="20"/>
          <w:lang w:eastAsia="es-CR"/>
        </w:rPr>
      </w:pPr>
      <w:r w:rsidRPr="00623888">
        <w:rPr>
          <w:rFonts w:ascii="Arial" w:hAnsi="Arial" w:cs="Arial"/>
          <w:b/>
          <w:bCs/>
          <w:color w:val="000000"/>
          <w:sz w:val="20"/>
          <w:szCs w:val="20"/>
          <w:lang w:eastAsia="es-CR"/>
        </w:rPr>
        <w:t>Indicador 49. Plazo promedio en meses para tramitar las solicitudes de bono familiar de vivienda desde que se reciben hasta su postulación</w:t>
      </w:r>
    </w:p>
    <w:p w:rsidR="00623888" w:rsidRPr="00623888" w:rsidRDefault="00623888" w:rsidP="00623888">
      <w:pPr>
        <w:spacing w:after="0" w:line="240" w:lineRule="auto"/>
        <w:jc w:val="both"/>
        <w:rPr>
          <w:rFonts w:ascii="Arial" w:hAnsi="Arial" w:cs="Arial"/>
          <w:b/>
          <w:bCs/>
          <w:color w:val="000000"/>
          <w:sz w:val="20"/>
          <w:szCs w:val="20"/>
          <w:lang w:eastAsia="es-CR"/>
        </w:rPr>
      </w:pPr>
    </w:p>
    <w:p w:rsidR="00623888" w:rsidRPr="00623888" w:rsidRDefault="00623888" w:rsidP="00623888">
      <w:pPr>
        <w:spacing w:after="0" w:line="240" w:lineRule="auto"/>
        <w:jc w:val="both"/>
        <w:rPr>
          <w:rFonts w:ascii="Arial" w:hAnsi="Arial" w:cs="Arial"/>
          <w:bCs/>
          <w:color w:val="FF0000"/>
          <w:sz w:val="20"/>
          <w:szCs w:val="20"/>
          <w:lang w:eastAsia="es-CR"/>
        </w:rPr>
      </w:pPr>
      <w:r w:rsidRPr="00623888">
        <w:rPr>
          <w:rFonts w:ascii="Arial" w:hAnsi="Arial" w:cs="Arial"/>
          <w:bCs/>
          <w:color w:val="000000"/>
          <w:sz w:val="20"/>
          <w:szCs w:val="20"/>
          <w:lang w:eastAsia="es-CR"/>
        </w:rPr>
        <w:t>Las solicitudes de bono familiar de vivienda se tramitaron en un tiempo promedio de tres</w:t>
      </w:r>
      <w:r w:rsidRPr="00623888">
        <w:rPr>
          <w:rFonts w:ascii="Arial" w:hAnsi="Arial" w:cs="Arial"/>
          <w:bCs/>
          <w:sz w:val="20"/>
          <w:szCs w:val="20"/>
          <w:lang w:eastAsia="es-CR"/>
        </w:rPr>
        <w:t xml:space="preserve"> meses, tiempo de acuerdo con la meta establecida.</w:t>
      </w:r>
    </w:p>
    <w:p w:rsidR="00623888" w:rsidRPr="00623888" w:rsidRDefault="00623888" w:rsidP="00623888">
      <w:pPr>
        <w:spacing w:after="0" w:line="240" w:lineRule="auto"/>
        <w:jc w:val="both"/>
        <w:rPr>
          <w:rFonts w:ascii="Arial" w:hAnsi="Arial" w:cs="Arial"/>
          <w:b/>
          <w:bCs/>
          <w:color w:val="000000"/>
          <w:sz w:val="20"/>
          <w:szCs w:val="20"/>
          <w:lang w:eastAsia="es-CR"/>
        </w:rPr>
      </w:pPr>
    </w:p>
    <w:p w:rsidR="00623888" w:rsidRPr="00623888" w:rsidRDefault="00623888" w:rsidP="00623888">
      <w:pPr>
        <w:spacing w:after="0" w:line="240" w:lineRule="auto"/>
        <w:jc w:val="both"/>
        <w:rPr>
          <w:rFonts w:ascii="Arial" w:hAnsi="Arial" w:cs="Arial"/>
          <w:b/>
          <w:bCs/>
          <w:sz w:val="20"/>
          <w:szCs w:val="20"/>
          <w:lang w:eastAsia="es-CR"/>
        </w:rPr>
      </w:pPr>
      <w:r w:rsidRPr="00623888">
        <w:rPr>
          <w:rFonts w:ascii="Arial" w:hAnsi="Arial" w:cs="Arial"/>
          <w:b/>
          <w:bCs/>
          <w:sz w:val="20"/>
          <w:szCs w:val="20"/>
          <w:lang w:eastAsia="es-CR"/>
        </w:rPr>
        <w:t>Indicador 50. Monto en millones de colones de los recursos presupuestados colocados para el otorgamiento de bonos familiares de vivienda</w:t>
      </w:r>
    </w:p>
    <w:p w:rsidR="00623888" w:rsidRPr="00623888" w:rsidRDefault="00623888" w:rsidP="00623888">
      <w:pPr>
        <w:pStyle w:val="Textoindependiente"/>
        <w:spacing w:after="0" w:line="240" w:lineRule="auto"/>
        <w:jc w:val="both"/>
        <w:rPr>
          <w:rFonts w:ascii="Arial" w:hAnsi="Arial" w:cs="Arial"/>
          <w:b/>
          <w:bCs/>
          <w:sz w:val="20"/>
          <w:szCs w:val="20"/>
          <w:lang w:eastAsia="es-CR"/>
        </w:rPr>
      </w:pPr>
    </w:p>
    <w:p w:rsidR="00623888" w:rsidRPr="00623888" w:rsidRDefault="00623888" w:rsidP="00623888">
      <w:pPr>
        <w:spacing w:after="0" w:line="240" w:lineRule="auto"/>
        <w:jc w:val="both"/>
        <w:rPr>
          <w:rFonts w:ascii="Arial" w:hAnsi="Arial" w:cs="Arial"/>
          <w:bCs/>
          <w:sz w:val="20"/>
          <w:szCs w:val="20"/>
          <w:lang w:eastAsia="es-CR"/>
        </w:rPr>
      </w:pPr>
      <w:r w:rsidRPr="00623888">
        <w:rPr>
          <w:rFonts w:ascii="Arial" w:hAnsi="Arial" w:cs="Arial"/>
          <w:bCs/>
          <w:sz w:val="20"/>
          <w:szCs w:val="20"/>
          <w:lang w:eastAsia="es-CR"/>
        </w:rPr>
        <w:t xml:space="preserve">De enero a diciembre se tramitó ante el BANHVI, un monto de ¢638,5 millones en bonos familiares de vivienda, que representa el 11% del presupuesto total, por ¢5.813,1 millones. </w:t>
      </w:r>
    </w:p>
    <w:p w:rsidR="00623888" w:rsidRPr="00623888" w:rsidRDefault="00623888" w:rsidP="00623888">
      <w:pPr>
        <w:spacing w:after="0" w:line="240" w:lineRule="auto"/>
        <w:jc w:val="both"/>
        <w:rPr>
          <w:rFonts w:ascii="Arial" w:hAnsi="Arial" w:cs="Arial"/>
          <w:bCs/>
          <w:color w:val="FF0000"/>
          <w:sz w:val="20"/>
          <w:szCs w:val="20"/>
          <w:lang w:eastAsia="es-CR"/>
        </w:rPr>
      </w:pPr>
    </w:p>
    <w:p w:rsidR="00623888" w:rsidRPr="00623888" w:rsidRDefault="00623888" w:rsidP="00623888">
      <w:pPr>
        <w:spacing w:after="0" w:line="240" w:lineRule="auto"/>
        <w:jc w:val="both"/>
        <w:rPr>
          <w:rFonts w:ascii="Arial" w:hAnsi="Arial" w:cs="Arial"/>
          <w:bCs/>
          <w:sz w:val="20"/>
          <w:szCs w:val="20"/>
          <w:lang w:eastAsia="es-CR"/>
        </w:rPr>
      </w:pPr>
      <w:r w:rsidRPr="00623888">
        <w:rPr>
          <w:rFonts w:ascii="Arial" w:hAnsi="Arial" w:cs="Arial"/>
          <w:bCs/>
          <w:sz w:val="20"/>
          <w:szCs w:val="20"/>
          <w:lang w:eastAsia="es-CR"/>
        </w:rPr>
        <w:t>La meta no se alcanzó, como se puede observar en el cuadro y gráfico siguiente:</w:t>
      </w:r>
    </w:p>
    <w:p w:rsidR="00623888" w:rsidRPr="00010855" w:rsidRDefault="00623888" w:rsidP="00623888">
      <w:pPr>
        <w:spacing w:after="0" w:line="240" w:lineRule="auto"/>
        <w:jc w:val="both"/>
        <w:rPr>
          <w:rFonts w:ascii="Arial" w:hAnsi="Arial" w:cs="Arial"/>
          <w:bCs/>
          <w:color w:val="FF0000"/>
          <w:lang w:eastAsia="es-CR"/>
        </w:rPr>
      </w:pPr>
    </w:p>
    <w:p w:rsidR="00623888" w:rsidRPr="00623888" w:rsidRDefault="00623888" w:rsidP="00623888">
      <w:pPr>
        <w:spacing w:after="0" w:line="240" w:lineRule="auto"/>
        <w:jc w:val="center"/>
        <w:rPr>
          <w:rFonts w:ascii="Arial" w:hAnsi="Arial" w:cs="Arial"/>
          <w:b/>
          <w:bCs/>
          <w:sz w:val="20"/>
          <w:szCs w:val="20"/>
          <w:lang w:eastAsia="es-CR"/>
        </w:rPr>
      </w:pPr>
      <w:r w:rsidRPr="00623888">
        <w:rPr>
          <w:rFonts w:ascii="Arial" w:hAnsi="Arial" w:cs="Arial"/>
          <w:b/>
          <w:bCs/>
          <w:sz w:val="20"/>
          <w:szCs w:val="20"/>
          <w:lang w:eastAsia="es-CR"/>
        </w:rPr>
        <w:t>Cuadro 1</w:t>
      </w:r>
      <w:r w:rsidR="00BC1DD5">
        <w:rPr>
          <w:rFonts w:ascii="Arial" w:hAnsi="Arial" w:cs="Arial"/>
          <w:b/>
          <w:bCs/>
          <w:sz w:val="20"/>
          <w:szCs w:val="20"/>
          <w:lang w:eastAsia="es-CR"/>
        </w:rPr>
        <w:t>5</w:t>
      </w:r>
      <w:r w:rsidRPr="00623888">
        <w:rPr>
          <w:rFonts w:ascii="Arial" w:hAnsi="Arial" w:cs="Arial"/>
          <w:b/>
          <w:bCs/>
          <w:sz w:val="20"/>
          <w:szCs w:val="20"/>
          <w:lang w:eastAsia="es-CR"/>
        </w:rPr>
        <w:t xml:space="preserve"> Recursos colocados en Bonos Familiares</w:t>
      </w:r>
    </w:p>
    <w:p w:rsidR="00623888" w:rsidRPr="00623888" w:rsidRDefault="00623888" w:rsidP="00623888">
      <w:pPr>
        <w:spacing w:after="0" w:line="240" w:lineRule="auto"/>
        <w:jc w:val="center"/>
        <w:rPr>
          <w:rFonts w:ascii="Arial" w:hAnsi="Arial" w:cs="Arial"/>
          <w:b/>
          <w:bCs/>
          <w:sz w:val="20"/>
          <w:szCs w:val="20"/>
          <w:lang w:eastAsia="es-CR"/>
        </w:rPr>
      </w:pPr>
      <w:r w:rsidRPr="00623888">
        <w:rPr>
          <w:rFonts w:ascii="Arial" w:hAnsi="Arial" w:cs="Arial"/>
          <w:b/>
          <w:bCs/>
          <w:sz w:val="20"/>
          <w:szCs w:val="20"/>
          <w:lang w:eastAsia="es-CR"/>
        </w:rPr>
        <w:t>de Vivienda, en millones</w:t>
      </w:r>
    </w:p>
    <w:p w:rsidR="00623888" w:rsidRPr="00623888" w:rsidRDefault="00623888" w:rsidP="00623888">
      <w:pPr>
        <w:spacing w:after="0" w:line="240" w:lineRule="auto"/>
        <w:jc w:val="center"/>
        <w:rPr>
          <w:rFonts w:ascii="Arial" w:hAnsi="Arial" w:cs="Arial"/>
          <w:b/>
          <w:bCs/>
          <w:sz w:val="20"/>
          <w:szCs w:val="20"/>
          <w:lang w:eastAsia="es-CR"/>
        </w:rPr>
      </w:pPr>
      <w:r w:rsidRPr="00623888">
        <w:rPr>
          <w:rFonts w:ascii="Arial" w:hAnsi="Arial" w:cs="Arial"/>
          <w:b/>
          <w:bCs/>
          <w:sz w:val="20"/>
          <w:szCs w:val="20"/>
          <w:lang w:eastAsia="es-CR"/>
        </w:rPr>
        <w:t>(Enero – diciembre 2017)</w:t>
      </w:r>
    </w:p>
    <w:tbl>
      <w:tblPr>
        <w:tblW w:w="3958" w:type="dxa"/>
        <w:jc w:val="center"/>
        <w:tblCellMar>
          <w:left w:w="70" w:type="dxa"/>
          <w:right w:w="70" w:type="dxa"/>
        </w:tblCellMar>
        <w:tblLook w:val="04A0" w:firstRow="1" w:lastRow="0" w:firstColumn="1" w:lastColumn="0" w:noHBand="0" w:noVBand="1"/>
      </w:tblPr>
      <w:tblGrid>
        <w:gridCol w:w="1930"/>
        <w:gridCol w:w="2028"/>
      </w:tblGrid>
      <w:tr w:rsidR="00623888" w:rsidRPr="00623888" w:rsidTr="00BC1A0F">
        <w:trPr>
          <w:trHeight w:val="1153"/>
          <w:jc w:val="center"/>
        </w:trPr>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3888" w:rsidRPr="00623888" w:rsidRDefault="00623888" w:rsidP="00623888">
            <w:pPr>
              <w:spacing w:after="0" w:line="240" w:lineRule="auto"/>
              <w:jc w:val="center"/>
              <w:rPr>
                <w:rFonts w:ascii="Arial" w:hAnsi="Arial" w:cs="Arial"/>
                <w:b/>
                <w:bCs/>
                <w:sz w:val="20"/>
                <w:szCs w:val="20"/>
                <w:highlight w:val="yellow"/>
                <w:lang w:eastAsia="es-CR"/>
              </w:rPr>
            </w:pPr>
            <w:r w:rsidRPr="00623888">
              <w:rPr>
                <w:rFonts w:ascii="Arial" w:hAnsi="Arial" w:cs="Arial"/>
                <w:b/>
                <w:bCs/>
                <w:sz w:val="20"/>
                <w:szCs w:val="20"/>
                <w:lang w:eastAsia="es-CR"/>
              </w:rPr>
              <w:t>Meta</w:t>
            </w:r>
            <w:r w:rsidRPr="00623888">
              <w:rPr>
                <w:rFonts w:ascii="Arial" w:hAnsi="Arial" w:cs="Arial"/>
                <w:b/>
                <w:bCs/>
                <w:sz w:val="20"/>
                <w:szCs w:val="20"/>
                <w:lang w:eastAsia="es-CR"/>
              </w:rPr>
              <w:br/>
              <w:t>(Anual)</w:t>
            </w:r>
          </w:p>
        </w:tc>
        <w:tc>
          <w:tcPr>
            <w:tcW w:w="2028" w:type="dxa"/>
            <w:tcBorders>
              <w:top w:val="single" w:sz="8" w:space="0" w:color="auto"/>
              <w:left w:val="nil"/>
              <w:bottom w:val="single" w:sz="4" w:space="0" w:color="auto"/>
              <w:right w:val="single" w:sz="4" w:space="0" w:color="auto"/>
            </w:tcBorders>
            <w:shd w:val="clear" w:color="auto" w:fill="auto"/>
            <w:vAlign w:val="center"/>
            <w:hideMark/>
          </w:tcPr>
          <w:p w:rsidR="00623888" w:rsidRPr="00623888" w:rsidRDefault="00623888" w:rsidP="00623888">
            <w:pPr>
              <w:spacing w:after="0" w:line="240" w:lineRule="auto"/>
              <w:jc w:val="center"/>
              <w:rPr>
                <w:rFonts w:ascii="Arial" w:hAnsi="Arial" w:cs="Arial"/>
                <w:b/>
                <w:bCs/>
                <w:sz w:val="20"/>
                <w:szCs w:val="20"/>
                <w:lang w:eastAsia="es-CR"/>
              </w:rPr>
            </w:pPr>
            <w:r w:rsidRPr="00623888">
              <w:rPr>
                <w:rFonts w:ascii="Arial" w:hAnsi="Arial" w:cs="Arial"/>
                <w:b/>
                <w:bCs/>
                <w:sz w:val="20"/>
                <w:szCs w:val="20"/>
                <w:lang w:eastAsia="es-CR"/>
              </w:rPr>
              <w:t>Ejecución</w:t>
            </w:r>
            <w:r w:rsidRPr="00623888">
              <w:rPr>
                <w:rFonts w:ascii="Arial" w:hAnsi="Arial" w:cs="Arial"/>
                <w:b/>
                <w:bCs/>
                <w:sz w:val="20"/>
                <w:szCs w:val="20"/>
                <w:lang w:eastAsia="es-CR"/>
              </w:rPr>
              <w:br/>
              <w:t>(Enero - diciembre)</w:t>
            </w:r>
          </w:p>
        </w:tc>
      </w:tr>
      <w:tr w:rsidR="00623888" w:rsidRPr="00623888" w:rsidTr="00BC1A0F">
        <w:trPr>
          <w:trHeight w:val="577"/>
          <w:jc w:val="center"/>
        </w:trPr>
        <w:tc>
          <w:tcPr>
            <w:tcW w:w="1930" w:type="dxa"/>
            <w:tcBorders>
              <w:top w:val="nil"/>
              <w:left w:val="single" w:sz="4" w:space="0" w:color="auto"/>
              <w:bottom w:val="single" w:sz="4" w:space="0" w:color="auto"/>
              <w:right w:val="single" w:sz="4" w:space="0" w:color="auto"/>
            </w:tcBorders>
            <w:shd w:val="clear" w:color="auto" w:fill="auto"/>
            <w:noWrap/>
            <w:vAlign w:val="center"/>
            <w:hideMark/>
          </w:tcPr>
          <w:p w:rsidR="00623888" w:rsidRPr="00623888" w:rsidRDefault="00623888" w:rsidP="00623888">
            <w:pPr>
              <w:spacing w:after="0" w:line="240" w:lineRule="auto"/>
              <w:jc w:val="center"/>
              <w:rPr>
                <w:rFonts w:ascii="Arial" w:hAnsi="Arial" w:cs="Arial"/>
                <w:sz w:val="20"/>
                <w:szCs w:val="20"/>
                <w:lang w:eastAsia="es-CR"/>
              </w:rPr>
            </w:pPr>
            <w:r w:rsidRPr="00623888">
              <w:rPr>
                <w:rFonts w:ascii="Arial" w:hAnsi="Arial" w:cs="Arial"/>
                <w:sz w:val="20"/>
                <w:szCs w:val="20"/>
              </w:rPr>
              <w:t>5.813,1</w:t>
            </w:r>
          </w:p>
        </w:tc>
        <w:tc>
          <w:tcPr>
            <w:tcW w:w="2028" w:type="dxa"/>
            <w:tcBorders>
              <w:top w:val="nil"/>
              <w:left w:val="nil"/>
              <w:bottom w:val="single" w:sz="4" w:space="0" w:color="auto"/>
              <w:right w:val="single" w:sz="4" w:space="0" w:color="auto"/>
            </w:tcBorders>
            <w:shd w:val="clear" w:color="auto" w:fill="auto"/>
            <w:noWrap/>
            <w:vAlign w:val="center"/>
            <w:hideMark/>
          </w:tcPr>
          <w:p w:rsidR="00623888" w:rsidRPr="00623888" w:rsidRDefault="00623888" w:rsidP="00623888">
            <w:pPr>
              <w:spacing w:after="0" w:line="240" w:lineRule="auto"/>
              <w:jc w:val="center"/>
              <w:rPr>
                <w:rFonts w:ascii="Arial" w:hAnsi="Arial" w:cs="Arial"/>
                <w:sz w:val="20"/>
                <w:szCs w:val="20"/>
                <w:lang w:eastAsia="es-CR"/>
              </w:rPr>
            </w:pPr>
            <w:r w:rsidRPr="00623888">
              <w:rPr>
                <w:rFonts w:ascii="Arial" w:hAnsi="Arial" w:cs="Arial"/>
                <w:sz w:val="20"/>
                <w:szCs w:val="20"/>
                <w:lang w:eastAsia="es-CR"/>
              </w:rPr>
              <w:t>638,5</w:t>
            </w:r>
          </w:p>
        </w:tc>
      </w:tr>
    </w:tbl>
    <w:p w:rsidR="00623888" w:rsidRPr="001E2626" w:rsidRDefault="00623888" w:rsidP="00623888">
      <w:pPr>
        <w:pStyle w:val="Textoindependiente"/>
        <w:spacing w:after="0" w:line="240" w:lineRule="auto"/>
        <w:jc w:val="center"/>
        <w:rPr>
          <w:rFonts w:ascii="Arial" w:hAnsi="Arial" w:cs="Arial"/>
          <w:bCs/>
          <w:color w:val="000000"/>
          <w:sz w:val="18"/>
          <w:szCs w:val="18"/>
          <w:lang w:eastAsia="es-CR"/>
        </w:rPr>
      </w:pPr>
      <w:r w:rsidRPr="001E2626">
        <w:rPr>
          <w:rFonts w:ascii="Arial" w:hAnsi="Arial" w:cs="Arial"/>
          <w:bCs/>
          <w:color w:val="000000"/>
          <w:sz w:val="18"/>
          <w:szCs w:val="18"/>
          <w:lang w:eastAsia="es-CR"/>
        </w:rPr>
        <w:t>Fuente: Informe de rendimiento de cuentas de área. (2017)</w:t>
      </w:r>
    </w:p>
    <w:p w:rsidR="0035377E" w:rsidRPr="00623888" w:rsidRDefault="0035377E" w:rsidP="00623888">
      <w:pPr>
        <w:pStyle w:val="Textoindependiente"/>
        <w:spacing w:after="0" w:line="240" w:lineRule="auto"/>
        <w:jc w:val="center"/>
        <w:rPr>
          <w:rFonts w:ascii="Arial" w:hAnsi="Arial" w:cs="Arial"/>
          <w:bCs/>
          <w:color w:val="000000"/>
          <w:sz w:val="20"/>
          <w:szCs w:val="20"/>
          <w:lang w:eastAsia="es-CR"/>
        </w:rPr>
      </w:pPr>
    </w:p>
    <w:p w:rsidR="00623888" w:rsidRDefault="00623888" w:rsidP="00623888">
      <w:pPr>
        <w:spacing w:after="0" w:line="240" w:lineRule="auto"/>
        <w:jc w:val="center"/>
        <w:rPr>
          <w:rFonts w:ascii="Arial" w:hAnsi="Arial" w:cs="Arial"/>
          <w:bCs/>
          <w:lang w:eastAsia="es-CR"/>
        </w:rPr>
      </w:pPr>
      <w:r w:rsidRPr="00E46F85">
        <w:rPr>
          <w:rFonts w:ascii="Arial" w:hAnsi="Arial" w:cs="Arial"/>
          <w:bCs/>
          <w:lang w:eastAsia="es-CR"/>
        </w:rPr>
        <w:fldChar w:fldCharType="begin"/>
      </w:r>
      <w:r w:rsidRPr="00E46F85">
        <w:rPr>
          <w:rFonts w:ascii="Arial" w:hAnsi="Arial" w:cs="Arial"/>
          <w:bCs/>
          <w:lang w:eastAsia="es-CR"/>
        </w:rPr>
        <w:instrText xml:space="preserve"> LINK Excel.Sheet.12 "C:\\Users\\Mmartinez\\Documents\\Marta Martínez C\\Rendimiento de cuentas (año 2017)\\Rendimiento de Cuentas (Diciembre 2017)\\Gráficos\\Programa IV (M11oct2017).xlsx!I50![Programa IV (M11oct2017).xlsx]I50 1 Gráfico" "" \a \p \* MERGEFORMAT </w:instrText>
      </w:r>
      <w:r w:rsidRPr="00E46F85">
        <w:rPr>
          <w:rFonts w:ascii="Arial" w:hAnsi="Arial" w:cs="Arial"/>
          <w:bCs/>
          <w:lang w:eastAsia="es-CR"/>
        </w:rPr>
        <w:fldChar w:fldCharType="separate"/>
      </w:r>
      <w:r w:rsidRPr="00E46F85">
        <w:rPr>
          <w:rFonts w:ascii="Arial" w:hAnsi="Arial" w:cs="Arial"/>
          <w:bCs/>
          <w:lang w:eastAsia="es-CR"/>
        </w:rPr>
        <w:object w:dxaOrig="7201" w:dyaOrig="4186">
          <v:shape id="_x0000_i1073" type="#_x0000_t75" style="width:5in;height:209.25pt" o:ole="">
            <v:imagedata r:id="rId27" o:title=""/>
          </v:shape>
        </w:object>
      </w:r>
      <w:r w:rsidRPr="00E46F85">
        <w:rPr>
          <w:rFonts w:ascii="Arial" w:hAnsi="Arial" w:cs="Arial"/>
          <w:bCs/>
          <w:lang w:eastAsia="es-CR"/>
        </w:rPr>
        <w:fldChar w:fldCharType="end"/>
      </w:r>
    </w:p>
    <w:p w:rsidR="00623888" w:rsidRDefault="00623888" w:rsidP="00623888">
      <w:pPr>
        <w:spacing w:after="0" w:line="240" w:lineRule="auto"/>
        <w:rPr>
          <w:rFonts w:cs="Arial"/>
          <w:bCs/>
          <w:sz w:val="18"/>
          <w:szCs w:val="18"/>
          <w:lang w:eastAsia="es-CR"/>
        </w:rPr>
      </w:pPr>
      <w:r>
        <w:rPr>
          <w:rFonts w:cs="Arial"/>
          <w:bCs/>
          <w:sz w:val="18"/>
          <w:szCs w:val="18"/>
          <w:lang w:eastAsia="es-CR"/>
        </w:rPr>
        <w:t xml:space="preserve">                         </w:t>
      </w:r>
    </w:p>
    <w:p w:rsidR="00623888" w:rsidRDefault="00623888" w:rsidP="00623888">
      <w:pPr>
        <w:spacing w:after="0" w:line="240" w:lineRule="auto"/>
        <w:rPr>
          <w:rFonts w:ascii="Arial" w:hAnsi="Arial" w:cs="Arial"/>
          <w:bCs/>
          <w:lang w:eastAsia="es-CR"/>
        </w:rPr>
      </w:pPr>
      <w:r w:rsidRPr="000620DD">
        <w:rPr>
          <w:rFonts w:ascii="Arial" w:hAnsi="Arial" w:cs="Arial"/>
          <w:bCs/>
          <w:sz w:val="18"/>
          <w:szCs w:val="18"/>
          <w:lang w:eastAsia="es-CR"/>
        </w:rPr>
        <w:t xml:space="preserve">                         Fuente: Informe de rendimiento de cuentas del área. (2017)</w:t>
      </w:r>
      <w:r>
        <w:rPr>
          <w:rFonts w:ascii="Arial" w:hAnsi="Arial" w:cs="Arial"/>
          <w:bCs/>
          <w:lang w:eastAsia="es-CR"/>
        </w:rPr>
        <w:br w:type="page"/>
      </w:r>
    </w:p>
    <w:p w:rsidR="00623888" w:rsidRPr="00623888" w:rsidRDefault="00623888" w:rsidP="00623888">
      <w:pPr>
        <w:spacing w:after="0" w:line="240" w:lineRule="auto"/>
        <w:jc w:val="both"/>
        <w:rPr>
          <w:rFonts w:ascii="Arial" w:eastAsia="Times New Roman" w:hAnsi="Arial" w:cs="Arial"/>
          <w:bCs/>
          <w:sz w:val="20"/>
          <w:szCs w:val="20"/>
          <w:lang w:eastAsia="es-CR"/>
        </w:rPr>
      </w:pPr>
      <w:r w:rsidRPr="00623888">
        <w:rPr>
          <w:rFonts w:ascii="Arial" w:eastAsia="Times New Roman" w:hAnsi="Arial" w:cs="Arial"/>
          <w:bCs/>
          <w:sz w:val="20"/>
          <w:szCs w:val="20"/>
          <w:lang w:eastAsia="es-CR"/>
        </w:rPr>
        <w:lastRenderedPageBreak/>
        <w:t>Entre otras razones por las que no se alcanzó la meta de bonos se puede mencionar:</w:t>
      </w:r>
    </w:p>
    <w:p w:rsidR="00623888" w:rsidRPr="00623888" w:rsidRDefault="00623888" w:rsidP="00623888">
      <w:pPr>
        <w:spacing w:after="0" w:line="240" w:lineRule="auto"/>
        <w:jc w:val="both"/>
        <w:rPr>
          <w:rFonts w:ascii="Arial" w:eastAsia="Times New Roman" w:hAnsi="Arial" w:cs="Arial"/>
          <w:bCs/>
          <w:sz w:val="20"/>
          <w:szCs w:val="20"/>
          <w:lang w:eastAsia="es-CR"/>
        </w:rPr>
      </w:pPr>
    </w:p>
    <w:p w:rsidR="00623888" w:rsidRPr="00623888" w:rsidRDefault="00623888" w:rsidP="0035377E">
      <w:pPr>
        <w:spacing w:after="0" w:line="240" w:lineRule="auto"/>
        <w:jc w:val="both"/>
        <w:rPr>
          <w:rFonts w:ascii="Arial" w:eastAsia="Times New Roman" w:hAnsi="Arial" w:cs="Arial"/>
          <w:bCs/>
          <w:sz w:val="20"/>
          <w:szCs w:val="20"/>
          <w:lang w:eastAsia="es-CR"/>
        </w:rPr>
      </w:pPr>
      <w:r w:rsidRPr="00623888">
        <w:rPr>
          <w:rFonts w:ascii="Arial" w:eastAsia="Times New Roman" w:hAnsi="Arial" w:cs="Arial"/>
          <w:bCs/>
          <w:sz w:val="20"/>
          <w:szCs w:val="20"/>
          <w:lang w:eastAsia="es-CR"/>
        </w:rPr>
        <w:t xml:space="preserve">  Población que solicita bonos corresponde al segmento de extrema necesidad y no cuenta con lote ni recursos para el pago de gasto adicionales.</w:t>
      </w:r>
    </w:p>
    <w:p w:rsidR="00623888" w:rsidRPr="00623888" w:rsidRDefault="00623888" w:rsidP="0035377E">
      <w:pPr>
        <w:spacing w:after="0" w:line="240" w:lineRule="auto"/>
        <w:jc w:val="both"/>
        <w:rPr>
          <w:rFonts w:ascii="Arial" w:eastAsia="Times New Roman" w:hAnsi="Arial" w:cs="Arial"/>
          <w:bCs/>
          <w:sz w:val="20"/>
          <w:szCs w:val="20"/>
          <w:lang w:eastAsia="es-CR"/>
        </w:rPr>
      </w:pPr>
      <w:r w:rsidRPr="00623888">
        <w:rPr>
          <w:rFonts w:ascii="Arial" w:eastAsia="Times New Roman" w:hAnsi="Arial" w:cs="Arial"/>
          <w:bCs/>
          <w:sz w:val="20"/>
          <w:szCs w:val="20"/>
          <w:lang w:eastAsia="es-CR"/>
        </w:rPr>
        <w:t xml:space="preserve">   Restricción impuesta por el BANHVI durante el año 2016, para el trámite de casos</w:t>
      </w:r>
    </w:p>
    <w:p w:rsidR="00623888" w:rsidRPr="00623888" w:rsidRDefault="00623888" w:rsidP="0035377E">
      <w:pPr>
        <w:spacing w:after="0" w:line="240" w:lineRule="auto"/>
        <w:jc w:val="both"/>
        <w:rPr>
          <w:rFonts w:ascii="Arial" w:eastAsia="Times New Roman" w:hAnsi="Arial" w:cs="Arial"/>
          <w:bCs/>
          <w:sz w:val="20"/>
          <w:szCs w:val="20"/>
          <w:lang w:eastAsia="es-CR"/>
        </w:rPr>
      </w:pPr>
      <w:r w:rsidRPr="00623888">
        <w:rPr>
          <w:rFonts w:ascii="Arial" w:eastAsia="Times New Roman" w:hAnsi="Arial" w:cs="Arial"/>
          <w:bCs/>
          <w:sz w:val="20"/>
          <w:szCs w:val="20"/>
          <w:lang w:eastAsia="es-CR"/>
        </w:rPr>
        <w:t xml:space="preserve">   La  ejecución de los recursos está sujeta al tiempo del BANHVI, para revisión y aprobación de los expedientes, actividades requeridas para continuar con la formalización y desembolso de los recursos.</w:t>
      </w:r>
    </w:p>
    <w:p w:rsidR="00623888" w:rsidRPr="00623888" w:rsidRDefault="00623888" w:rsidP="0035377E">
      <w:pPr>
        <w:spacing w:after="0" w:line="240" w:lineRule="auto"/>
        <w:jc w:val="both"/>
        <w:rPr>
          <w:rFonts w:ascii="Arial" w:eastAsia="Times New Roman" w:hAnsi="Arial" w:cs="Arial"/>
          <w:bCs/>
          <w:sz w:val="20"/>
          <w:szCs w:val="20"/>
          <w:lang w:eastAsia="es-CR"/>
        </w:rPr>
      </w:pPr>
      <w:r w:rsidRPr="00623888">
        <w:rPr>
          <w:rFonts w:ascii="Arial" w:eastAsia="Times New Roman" w:hAnsi="Arial" w:cs="Arial"/>
          <w:bCs/>
          <w:sz w:val="20"/>
          <w:szCs w:val="20"/>
          <w:lang w:eastAsia="es-CR"/>
        </w:rPr>
        <w:t xml:space="preserve">  En el  proceso para el trámite de bonos participan instituciones como: CONAPAM, Colegio Federado de Ingenieros y Arquitectos, Municipalidades, entre otros, lo que afecta la fluidez en la tramitación de los casos. Además se requiere la participación de profesionales, en Trabajo Social, Ingeniería, Derecho.</w:t>
      </w:r>
    </w:p>
    <w:p w:rsidR="00623888" w:rsidRPr="00623888" w:rsidRDefault="00623888" w:rsidP="0035377E">
      <w:pPr>
        <w:spacing w:after="0" w:line="240" w:lineRule="auto"/>
        <w:jc w:val="both"/>
        <w:rPr>
          <w:rFonts w:ascii="Arial" w:eastAsia="Times New Roman" w:hAnsi="Arial" w:cs="Arial"/>
          <w:bCs/>
          <w:sz w:val="20"/>
          <w:szCs w:val="20"/>
          <w:lang w:eastAsia="es-CR"/>
        </w:rPr>
      </w:pPr>
    </w:p>
    <w:p w:rsidR="00623888" w:rsidRPr="00623888" w:rsidRDefault="00623888" w:rsidP="0035377E">
      <w:pPr>
        <w:spacing w:after="0" w:line="240" w:lineRule="auto"/>
        <w:jc w:val="both"/>
        <w:rPr>
          <w:rFonts w:ascii="Arial" w:eastAsia="Times New Roman" w:hAnsi="Arial" w:cs="Arial"/>
          <w:bCs/>
          <w:sz w:val="20"/>
          <w:szCs w:val="20"/>
          <w:lang w:eastAsia="es-CR"/>
        </w:rPr>
      </w:pPr>
      <w:r w:rsidRPr="00623888">
        <w:rPr>
          <w:rFonts w:ascii="Arial" w:eastAsia="Times New Roman" w:hAnsi="Arial" w:cs="Arial"/>
          <w:bCs/>
          <w:sz w:val="20"/>
          <w:szCs w:val="20"/>
          <w:lang w:eastAsia="es-CR"/>
        </w:rPr>
        <w:t>Es importante señalar, que para mejorar la colocación de bonos familiares de vivienda, a partir del año 2018, se trabaja considerando lo indicado en Acuerdo de Junta Directiva de la Sesión 6290: analizar la figura de empresas para colocar bonos, diseñar procedimientos para agilizar el trámite, introducir procesos de evaluación periódica, revisión de requisitos.</w:t>
      </w:r>
    </w:p>
    <w:p w:rsidR="00623888" w:rsidRPr="00623888" w:rsidRDefault="00623888" w:rsidP="0035377E">
      <w:pPr>
        <w:spacing w:after="0" w:line="240" w:lineRule="auto"/>
        <w:jc w:val="both"/>
        <w:rPr>
          <w:rFonts w:ascii="Arial" w:eastAsia="Times New Roman" w:hAnsi="Arial" w:cs="Arial"/>
          <w:bCs/>
          <w:sz w:val="20"/>
          <w:szCs w:val="20"/>
          <w:lang w:eastAsia="es-CR"/>
        </w:rPr>
      </w:pPr>
    </w:p>
    <w:p w:rsidR="00623888" w:rsidRPr="00623888" w:rsidRDefault="00623888" w:rsidP="00623888">
      <w:pPr>
        <w:spacing w:after="0" w:line="240" w:lineRule="auto"/>
        <w:jc w:val="both"/>
        <w:rPr>
          <w:rFonts w:ascii="Arial" w:eastAsia="Times New Roman" w:hAnsi="Arial" w:cs="Arial"/>
          <w:bCs/>
          <w:sz w:val="20"/>
          <w:szCs w:val="20"/>
          <w:lang w:eastAsia="es-CR"/>
        </w:rPr>
      </w:pPr>
    </w:p>
    <w:p w:rsidR="00623888" w:rsidRPr="00623888" w:rsidRDefault="00623888" w:rsidP="00623888">
      <w:pPr>
        <w:spacing w:after="0" w:line="240" w:lineRule="auto"/>
        <w:rPr>
          <w:rFonts w:ascii="Arial" w:eastAsia="Times New Roman" w:hAnsi="Arial" w:cs="Arial"/>
          <w:bCs/>
          <w:sz w:val="20"/>
          <w:szCs w:val="20"/>
          <w:lang w:eastAsia="es-CR"/>
        </w:rPr>
      </w:pPr>
      <w:r w:rsidRPr="00623888">
        <w:rPr>
          <w:rFonts w:ascii="Arial" w:eastAsia="Times New Roman" w:hAnsi="Arial" w:cs="Arial"/>
          <w:bCs/>
          <w:sz w:val="20"/>
          <w:szCs w:val="20"/>
          <w:lang w:eastAsia="es-CR"/>
        </w:rPr>
        <w:t xml:space="preserve">Seguidamente se muestra un detalle de lo actuado en los indicadores del 47 al 50: Bonos y Clase media. </w:t>
      </w:r>
    </w:p>
    <w:tbl>
      <w:tblPr>
        <w:tblW w:w="9103" w:type="dxa"/>
        <w:tblBorders>
          <w:insideH w:val="single" w:sz="6" w:space="0" w:color="000000"/>
          <w:insideV w:val="single" w:sz="6" w:space="0" w:color="000000"/>
        </w:tblBorders>
        <w:tblLook w:val="04A0" w:firstRow="1" w:lastRow="0" w:firstColumn="1" w:lastColumn="0" w:noHBand="0" w:noVBand="1"/>
      </w:tblPr>
      <w:tblGrid>
        <w:gridCol w:w="4293"/>
        <w:gridCol w:w="4810"/>
      </w:tblGrid>
      <w:tr w:rsidR="00623888" w:rsidRPr="00623888" w:rsidTr="00623888">
        <w:trPr>
          <w:trHeight w:val="270"/>
        </w:trPr>
        <w:tc>
          <w:tcPr>
            <w:tcW w:w="5000" w:type="pct"/>
            <w:gridSpan w:val="2"/>
            <w:tcBorders>
              <w:top w:val="nil"/>
              <w:left w:val="nil"/>
              <w:bottom w:val="single" w:sz="6" w:space="0" w:color="000000"/>
              <w:right w:val="nil"/>
            </w:tcBorders>
            <w:noWrap/>
          </w:tcPr>
          <w:p w:rsidR="00623888" w:rsidRPr="00623888" w:rsidRDefault="00623888" w:rsidP="00623888">
            <w:pPr>
              <w:spacing w:after="0" w:line="240" w:lineRule="auto"/>
              <w:rPr>
                <w:rFonts w:ascii="Arial" w:eastAsia="Times New Roman" w:hAnsi="Arial" w:cs="Arial"/>
                <w:bCs/>
                <w:sz w:val="20"/>
                <w:szCs w:val="20"/>
                <w:lang w:eastAsia="es-CR"/>
              </w:rPr>
            </w:pPr>
          </w:p>
          <w:p w:rsidR="00623888" w:rsidRPr="00623888" w:rsidRDefault="00623888" w:rsidP="00744CE6">
            <w:pPr>
              <w:spacing w:after="0" w:line="240" w:lineRule="auto"/>
              <w:jc w:val="center"/>
              <w:rPr>
                <w:rFonts w:ascii="Arial" w:eastAsia="Times New Roman" w:hAnsi="Arial" w:cs="Arial"/>
                <w:b/>
                <w:bCs/>
                <w:sz w:val="20"/>
                <w:szCs w:val="20"/>
                <w:lang w:eastAsia="es-CR"/>
              </w:rPr>
            </w:pPr>
            <w:r w:rsidRPr="00623888">
              <w:rPr>
                <w:rFonts w:ascii="Arial" w:eastAsia="Times New Roman" w:hAnsi="Arial" w:cs="Arial"/>
                <w:b/>
                <w:bCs/>
                <w:sz w:val="20"/>
                <w:szCs w:val="20"/>
                <w:lang w:eastAsia="es-CR"/>
              </w:rPr>
              <w:t xml:space="preserve">Tabla </w:t>
            </w:r>
            <w:r w:rsidR="00744CE6">
              <w:rPr>
                <w:rFonts w:ascii="Arial" w:eastAsia="Times New Roman" w:hAnsi="Arial" w:cs="Arial"/>
                <w:b/>
                <w:bCs/>
                <w:sz w:val="20"/>
                <w:szCs w:val="20"/>
                <w:lang w:eastAsia="es-CR"/>
              </w:rPr>
              <w:t>40</w:t>
            </w:r>
            <w:r w:rsidRPr="00623888">
              <w:rPr>
                <w:rFonts w:ascii="Arial" w:eastAsia="Times New Roman" w:hAnsi="Arial" w:cs="Arial"/>
                <w:b/>
                <w:bCs/>
                <w:sz w:val="20"/>
                <w:szCs w:val="20"/>
                <w:lang w:eastAsia="es-CR"/>
              </w:rPr>
              <w:t xml:space="preserve"> Algunas Acciones Realizadas</w:t>
            </w:r>
          </w:p>
        </w:tc>
      </w:tr>
      <w:tr w:rsidR="00623888" w:rsidRPr="00623888" w:rsidTr="00623888">
        <w:trPr>
          <w:trHeight w:val="825"/>
        </w:trPr>
        <w:tc>
          <w:tcPr>
            <w:tcW w:w="2358" w:type="pct"/>
            <w:tcBorders>
              <w:top w:val="single" w:sz="6" w:space="0" w:color="000000"/>
              <w:left w:val="nil"/>
              <w:bottom w:val="single" w:sz="6" w:space="0" w:color="000000"/>
              <w:right w:val="single" w:sz="6" w:space="0" w:color="000000"/>
            </w:tcBorders>
            <w:hideMark/>
          </w:tcPr>
          <w:p w:rsidR="00623888" w:rsidRPr="00623888" w:rsidRDefault="00623888" w:rsidP="00623888">
            <w:pPr>
              <w:spacing w:after="0" w:line="240" w:lineRule="auto"/>
              <w:rPr>
                <w:rFonts w:ascii="Arial" w:eastAsia="Times New Roman" w:hAnsi="Arial" w:cs="Arial"/>
                <w:bCs/>
                <w:sz w:val="20"/>
                <w:szCs w:val="20"/>
                <w:lang w:eastAsia="es-CR"/>
              </w:rPr>
            </w:pPr>
            <w:r w:rsidRPr="00623888">
              <w:rPr>
                <w:rFonts w:ascii="Arial" w:eastAsia="Times New Roman" w:hAnsi="Arial" w:cs="Arial"/>
                <w:bCs/>
                <w:sz w:val="20"/>
                <w:szCs w:val="20"/>
                <w:lang w:eastAsia="es-CR"/>
              </w:rPr>
              <w:t>a) Actividades realizadas:</w:t>
            </w:r>
          </w:p>
        </w:tc>
        <w:tc>
          <w:tcPr>
            <w:tcW w:w="2642" w:type="pct"/>
            <w:tcBorders>
              <w:top w:val="single" w:sz="6" w:space="0" w:color="000000"/>
              <w:left w:val="single" w:sz="6" w:space="0" w:color="000000"/>
              <w:bottom w:val="single" w:sz="6" w:space="0" w:color="000000"/>
              <w:right w:val="nil"/>
            </w:tcBorders>
          </w:tcPr>
          <w:p w:rsidR="00623888" w:rsidRPr="00623888" w:rsidRDefault="00623888" w:rsidP="00623888">
            <w:pPr>
              <w:spacing w:after="0" w:line="240" w:lineRule="auto"/>
              <w:rPr>
                <w:rFonts w:ascii="Arial" w:eastAsia="Times New Roman" w:hAnsi="Arial" w:cs="Arial"/>
                <w:bCs/>
                <w:sz w:val="20"/>
                <w:szCs w:val="20"/>
                <w:lang w:eastAsia="es-CR"/>
              </w:rPr>
            </w:pPr>
            <w:r w:rsidRPr="00623888">
              <w:rPr>
                <w:rFonts w:ascii="Arial" w:eastAsia="Times New Roman" w:hAnsi="Arial" w:cs="Arial"/>
                <w:bCs/>
                <w:sz w:val="20"/>
                <w:szCs w:val="20"/>
                <w:lang w:eastAsia="es-CR"/>
              </w:rPr>
              <w:t>- Recepción de solicitudes de la Unidad de Canales de Servicios.</w:t>
            </w:r>
          </w:p>
          <w:p w:rsidR="00623888" w:rsidRPr="00623888" w:rsidRDefault="00623888" w:rsidP="00623888">
            <w:pPr>
              <w:spacing w:after="0" w:line="240" w:lineRule="auto"/>
              <w:rPr>
                <w:rFonts w:ascii="Arial" w:eastAsia="Times New Roman" w:hAnsi="Arial" w:cs="Arial"/>
                <w:bCs/>
                <w:sz w:val="20"/>
                <w:szCs w:val="20"/>
                <w:lang w:eastAsia="es-CR"/>
              </w:rPr>
            </w:pPr>
            <w:r w:rsidRPr="00623888">
              <w:rPr>
                <w:rFonts w:ascii="Arial" w:eastAsia="Times New Roman" w:hAnsi="Arial" w:cs="Arial"/>
                <w:bCs/>
                <w:sz w:val="20"/>
                <w:szCs w:val="20"/>
                <w:lang w:eastAsia="es-CR"/>
              </w:rPr>
              <w:t>- Elaboración del estudio de avalúo del bien en garantía.</w:t>
            </w:r>
          </w:p>
          <w:p w:rsidR="00623888" w:rsidRPr="00623888" w:rsidRDefault="00623888" w:rsidP="00623888">
            <w:pPr>
              <w:spacing w:after="0" w:line="240" w:lineRule="auto"/>
              <w:rPr>
                <w:rFonts w:ascii="Arial" w:eastAsia="Times New Roman" w:hAnsi="Arial" w:cs="Arial"/>
                <w:bCs/>
                <w:sz w:val="20"/>
                <w:szCs w:val="20"/>
                <w:lang w:eastAsia="es-CR"/>
              </w:rPr>
            </w:pPr>
            <w:r w:rsidRPr="00623888">
              <w:rPr>
                <w:rFonts w:ascii="Arial" w:eastAsia="Times New Roman" w:hAnsi="Arial" w:cs="Arial"/>
                <w:bCs/>
                <w:sz w:val="20"/>
                <w:szCs w:val="20"/>
                <w:lang w:eastAsia="es-CR"/>
              </w:rPr>
              <w:t>- Análisis del expediente, que considera entre otros aspectos, la verificación de requisitos, la valoración de la garantía, la capacidad de pago (si se requiere) o la consecutividad de pagos (en el caso del Sistema de Ahorro y Préstamo).</w:t>
            </w:r>
          </w:p>
          <w:p w:rsidR="00623888" w:rsidRPr="00623888" w:rsidRDefault="00623888" w:rsidP="00623888">
            <w:pPr>
              <w:spacing w:after="0" w:line="240" w:lineRule="auto"/>
              <w:rPr>
                <w:rFonts w:ascii="Arial" w:eastAsia="Times New Roman" w:hAnsi="Arial" w:cs="Arial"/>
                <w:bCs/>
                <w:sz w:val="20"/>
                <w:szCs w:val="20"/>
                <w:lang w:eastAsia="es-CR"/>
              </w:rPr>
            </w:pPr>
            <w:r w:rsidRPr="00623888">
              <w:rPr>
                <w:rFonts w:ascii="Arial" w:eastAsia="Times New Roman" w:hAnsi="Arial" w:cs="Arial"/>
                <w:bCs/>
                <w:sz w:val="20"/>
                <w:szCs w:val="20"/>
                <w:lang w:eastAsia="es-CR"/>
              </w:rPr>
              <w:t>- Revisión y aprobación por parte de la Comisión de crédito.</w:t>
            </w:r>
          </w:p>
          <w:p w:rsidR="00623888" w:rsidRPr="00623888" w:rsidRDefault="00623888" w:rsidP="00623888">
            <w:pPr>
              <w:spacing w:after="0" w:line="240" w:lineRule="auto"/>
              <w:rPr>
                <w:rFonts w:ascii="Arial" w:eastAsia="Times New Roman" w:hAnsi="Arial" w:cs="Arial"/>
                <w:bCs/>
                <w:sz w:val="20"/>
                <w:szCs w:val="20"/>
                <w:lang w:eastAsia="es-CR"/>
              </w:rPr>
            </w:pPr>
            <w:r w:rsidRPr="00623888">
              <w:rPr>
                <w:rFonts w:ascii="Arial" w:eastAsia="Times New Roman" w:hAnsi="Arial" w:cs="Arial"/>
                <w:bCs/>
                <w:sz w:val="20"/>
                <w:szCs w:val="20"/>
                <w:lang w:eastAsia="es-CR"/>
              </w:rPr>
              <w:t>- Formalización del crédito.</w:t>
            </w:r>
          </w:p>
          <w:p w:rsidR="00623888" w:rsidRPr="00623888" w:rsidRDefault="00623888" w:rsidP="00623888">
            <w:pPr>
              <w:spacing w:after="0" w:line="240" w:lineRule="auto"/>
              <w:rPr>
                <w:rFonts w:ascii="Arial" w:eastAsia="Times New Roman" w:hAnsi="Arial" w:cs="Arial"/>
                <w:bCs/>
                <w:sz w:val="20"/>
                <w:szCs w:val="20"/>
                <w:lang w:eastAsia="es-CR"/>
              </w:rPr>
            </w:pPr>
            <w:r w:rsidRPr="00623888">
              <w:rPr>
                <w:rFonts w:ascii="Arial" w:eastAsia="Times New Roman" w:hAnsi="Arial" w:cs="Arial"/>
                <w:bCs/>
                <w:sz w:val="20"/>
                <w:szCs w:val="20"/>
                <w:lang w:eastAsia="es-CR"/>
              </w:rPr>
              <w:t>- Revisión de la escritura.</w:t>
            </w:r>
          </w:p>
          <w:p w:rsidR="00623888" w:rsidRPr="00623888" w:rsidRDefault="00623888" w:rsidP="00623888">
            <w:pPr>
              <w:spacing w:after="0" w:line="240" w:lineRule="auto"/>
              <w:rPr>
                <w:rFonts w:ascii="Arial" w:eastAsia="Times New Roman" w:hAnsi="Arial" w:cs="Arial"/>
                <w:bCs/>
                <w:sz w:val="20"/>
                <w:szCs w:val="20"/>
                <w:lang w:eastAsia="es-CR"/>
              </w:rPr>
            </w:pPr>
            <w:r w:rsidRPr="00623888">
              <w:rPr>
                <w:rFonts w:ascii="Arial" w:eastAsia="Times New Roman" w:hAnsi="Arial" w:cs="Arial"/>
                <w:bCs/>
                <w:sz w:val="20"/>
                <w:szCs w:val="20"/>
                <w:lang w:eastAsia="es-CR"/>
              </w:rPr>
              <w:t>- Contabilización.</w:t>
            </w:r>
          </w:p>
          <w:p w:rsidR="00623888" w:rsidRPr="00623888" w:rsidRDefault="00623888" w:rsidP="00623888">
            <w:pPr>
              <w:spacing w:after="0" w:line="240" w:lineRule="auto"/>
              <w:rPr>
                <w:rFonts w:ascii="Arial" w:eastAsia="Times New Roman" w:hAnsi="Arial" w:cs="Arial"/>
                <w:bCs/>
                <w:sz w:val="20"/>
                <w:szCs w:val="20"/>
                <w:lang w:eastAsia="es-CR"/>
              </w:rPr>
            </w:pPr>
            <w:r w:rsidRPr="00623888">
              <w:rPr>
                <w:rFonts w:ascii="Arial" w:eastAsia="Times New Roman" w:hAnsi="Arial" w:cs="Arial"/>
                <w:bCs/>
                <w:sz w:val="20"/>
                <w:szCs w:val="20"/>
                <w:lang w:eastAsia="es-CR"/>
              </w:rPr>
              <w:t>- Archivo del expediente.</w:t>
            </w:r>
          </w:p>
        </w:tc>
      </w:tr>
      <w:tr w:rsidR="00623888" w:rsidRPr="00623888" w:rsidTr="00623888">
        <w:trPr>
          <w:trHeight w:val="286"/>
        </w:trPr>
        <w:tc>
          <w:tcPr>
            <w:tcW w:w="2358" w:type="pct"/>
            <w:tcBorders>
              <w:top w:val="single" w:sz="6" w:space="0" w:color="000000"/>
              <w:left w:val="nil"/>
              <w:bottom w:val="single" w:sz="6" w:space="0" w:color="000000"/>
              <w:right w:val="single" w:sz="6" w:space="0" w:color="000000"/>
            </w:tcBorders>
            <w:hideMark/>
          </w:tcPr>
          <w:p w:rsidR="00623888" w:rsidRPr="00623888" w:rsidRDefault="00623888" w:rsidP="00623888">
            <w:pPr>
              <w:spacing w:after="0" w:line="240" w:lineRule="auto"/>
              <w:rPr>
                <w:rFonts w:ascii="Arial" w:eastAsia="Times New Roman" w:hAnsi="Arial" w:cs="Arial"/>
                <w:bCs/>
                <w:sz w:val="20"/>
                <w:szCs w:val="20"/>
                <w:lang w:eastAsia="es-CR"/>
              </w:rPr>
            </w:pPr>
            <w:r w:rsidRPr="00623888">
              <w:rPr>
                <w:rFonts w:ascii="Arial" w:eastAsia="Times New Roman" w:hAnsi="Arial" w:cs="Arial"/>
                <w:bCs/>
                <w:sz w:val="20"/>
                <w:szCs w:val="20"/>
                <w:lang w:eastAsia="es-CR"/>
              </w:rPr>
              <w:t>b) Limitaciones:</w:t>
            </w:r>
          </w:p>
        </w:tc>
        <w:tc>
          <w:tcPr>
            <w:tcW w:w="2642" w:type="pct"/>
            <w:tcBorders>
              <w:top w:val="single" w:sz="6" w:space="0" w:color="000000"/>
              <w:left w:val="single" w:sz="6" w:space="0" w:color="000000"/>
              <w:bottom w:val="single" w:sz="6" w:space="0" w:color="000000"/>
              <w:right w:val="nil"/>
            </w:tcBorders>
          </w:tcPr>
          <w:p w:rsidR="00623888" w:rsidRPr="00623888" w:rsidRDefault="00623888" w:rsidP="00623888">
            <w:pPr>
              <w:spacing w:after="0" w:line="240" w:lineRule="auto"/>
              <w:rPr>
                <w:rFonts w:ascii="Arial" w:eastAsia="Times New Roman" w:hAnsi="Arial" w:cs="Arial"/>
                <w:bCs/>
                <w:sz w:val="20"/>
                <w:szCs w:val="20"/>
                <w:lang w:eastAsia="es-CR"/>
              </w:rPr>
            </w:pPr>
            <w:r w:rsidRPr="00623888">
              <w:rPr>
                <w:rFonts w:ascii="Arial" w:eastAsia="Times New Roman" w:hAnsi="Arial" w:cs="Arial"/>
                <w:bCs/>
                <w:sz w:val="20"/>
                <w:szCs w:val="20"/>
                <w:lang w:eastAsia="es-CR"/>
              </w:rPr>
              <w:t>- En el caso de bonos, los solicitantes en su mayoría no son sujetos de bono, por sus condiciones de ingresos.</w:t>
            </w:r>
          </w:p>
        </w:tc>
      </w:tr>
      <w:tr w:rsidR="00623888" w:rsidRPr="00623888" w:rsidTr="00623888">
        <w:trPr>
          <w:trHeight w:val="585"/>
        </w:trPr>
        <w:tc>
          <w:tcPr>
            <w:tcW w:w="2358" w:type="pct"/>
            <w:tcBorders>
              <w:top w:val="single" w:sz="6" w:space="0" w:color="000000"/>
              <w:left w:val="nil"/>
              <w:bottom w:val="single" w:sz="6" w:space="0" w:color="000000"/>
              <w:right w:val="single" w:sz="6" w:space="0" w:color="000000"/>
            </w:tcBorders>
            <w:hideMark/>
          </w:tcPr>
          <w:p w:rsidR="00623888" w:rsidRPr="00623888" w:rsidRDefault="00623888" w:rsidP="00623888">
            <w:pPr>
              <w:spacing w:after="0" w:line="240" w:lineRule="auto"/>
              <w:rPr>
                <w:rFonts w:ascii="Arial" w:eastAsia="Times New Roman" w:hAnsi="Arial" w:cs="Arial"/>
                <w:bCs/>
                <w:sz w:val="20"/>
                <w:szCs w:val="20"/>
                <w:lang w:eastAsia="es-CR"/>
              </w:rPr>
            </w:pPr>
            <w:r w:rsidRPr="00623888">
              <w:rPr>
                <w:rFonts w:ascii="Arial" w:eastAsia="Times New Roman" w:hAnsi="Arial" w:cs="Arial"/>
                <w:bCs/>
                <w:sz w:val="20"/>
                <w:szCs w:val="20"/>
                <w:lang w:eastAsia="es-CR"/>
              </w:rPr>
              <w:t>c) Medidas correctivas o acciones de mejora (realizadas y por realizar) para el logro de la meta:</w:t>
            </w:r>
          </w:p>
        </w:tc>
        <w:tc>
          <w:tcPr>
            <w:tcW w:w="2642" w:type="pct"/>
            <w:tcBorders>
              <w:top w:val="single" w:sz="6" w:space="0" w:color="000000"/>
              <w:left w:val="single" w:sz="6" w:space="0" w:color="000000"/>
              <w:bottom w:val="single" w:sz="6" w:space="0" w:color="000000"/>
              <w:right w:val="nil"/>
            </w:tcBorders>
            <w:hideMark/>
          </w:tcPr>
          <w:p w:rsidR="00623888" w:rsidRPr="00623888" w:rsidRDefault="00623888" w:rsidP="00623888">
            <w:pPr>
              <w:spacing w:after="0" w:line="240" w:lineRule="auto"/>
              <w:rPr>
                <w:rFonts w:ascii="Arial" w:eastAsia="Times New Roman" w:hAnsi="Arial" w:cs="Arial"/>
                <w:bCs/>
                <w:sz w:val="20"/>
                <w:szCs w:val="20"/>
                <w:lang w:eastAsia="es-CR"/>
              </w:rPr>
            </w:pPr>
            <w:r w:rsidRPr="00623888">
              <w:rPr>
                <w:rFonts w:ascii="Arial" w:eastAsia="Times New Roman" w:hAnsi="Arial" w:cs="Arial"/>
                <w:bCs/>
                <w:sz w:val="20"/>
                <w:szCs w:val="20"/>
                <w:lang w:eastAsia="es-CR"/>
              </w:rPr>
              <w:t>Se realizan promociones de los productos en los siguientes medios: radio, Facebook y las ferias de expo casa.</w:t>
            </w:r>
          </w:p>
        </w:tc>
      </w:tr>
      <w:tr w:rsidR="00623888" w:rsidRPr="00623888" w:rsidTr="00623888">
        <w:trPr>
          <w:trHeight w:val="402"/>
        </w:trPr>
        <w:tc>
          <w:tcPr>
            <w:tcW w:w="2358" w:type="pct"/>
            <w:tcBorders>
              <w:top w:val="single" w:sz="6" w:space="0" w:color="000000"/>
              <w:left w:val="nil"/>
              <w:bottom w:val="nil"/>
              <w:right w:val="single" w:sz="6" w:space="0" w:color="000000"/>
            </w:tcBorders>
            <w:hideMark/>
          </w:tcPr>
          <w:p w:rsidR="00623888" w:rsidRPr="00623888" w:rsidRDefault="00623888" w:rsidP="00623888">
            <w:pPr>
              <w:spacing w:after="0" w:line="240" w:lineRule="auto"/>
              <w:rPr>
                <w:rFonts w:ascii="Arial" w:eastAsia="Times New Roman" w:hAnsi="Arial" w:cs="Arial"/>
                <w:bCs/>
                <w:sz w:val="20"/>
                <w:szCs w:val="20"/>
                <w:lang w:eastAsia="es-CR"/>
              </w:rPr>
            </w:pPr>
            <w:r w:rsidRPr="00623888">
              <w:rPr>
                <w:rFonts w:ascii="Arial" w:eastAsia="Times New Roman" w:hAnsi="Arial" w:cs="Arial"/>
                <w:bCs/>
                <w:sz w:val="20"/>
                <w:szCs w:val="20"/>
                <w:lang w:eastAsia="es-CR"/>
              </w:rPr>
              <w:t>Observaciones:</w:t>
            </w:r>
          </w:p>
        </w:tc>
        <w:tc>
          <w:tcPr>
            <w:tcW w:w="2642" w:type="pct"/>
            <w:tcBorders>
              <w:top w:val="single" w:sz="6" w:space="0" w:color="000000"/>
              <w:left w:val="single" w:sz="6" w:space="0" w:color="000000"/>
              <w:bottom w:val="nil"/>
              <w:right w:val="nil"/>
            </w:tcBorders>
          </w:tcPr>
          <w:p w:rsidR="00623888" w:rsidRPr="00623888" w:rsidRDefault="00623888" w:rsidP="00623888">
            <w:pPr>
              <w:spacing w:after="0" w:line="240" w:lineRule="auto"/>
              <w:rPr>
                <w:rFonts w:ascii="Arial" w:eastAsia="Times New Roman" w:hAnsi="Arial" w:cs="Arial"/>
                <w:bCs/>
                <w:sz w:val="20"/>
                <w:szCs w:val="20"/>
                <w:lang w:eastAsia="es-CR"/>
              </w:rPr>
            </w:pPr>
            <w:r w:rsidRPr="00623888">
              <w:rPr>
                <w:rFonts w:ascii="Arial" w:eastAsia="Times New Roman" w:hAnsi="Arial" w:cs="Arial"/>
                <w:bCs/>
                <w:sz w:val="20"/>
                <w:szCs w:val="20"/>
                <w:lang w:eastAsia="es-CR"/>
              </w:rPr>
              <w:t>- El número de solicitudes depende de la demanda, las cuales se tramitaron en un 100%.</w:t>
            </w:r>
          </w:p>
        </w:tc>
      </w:tr>
    </w:tbl>
    <w:p w:rsidR="00623888" w:rsidRPr="00623888" w:rsidRDefault="00623888" w:rsidP="00623888">
      <w:pPr>
        <w:spacing w:after="0" w:line="240" w:lineRule="auto"/>
        <w:rPr>
          <w:rFonts w:ascii="Arial" w:eastAsia="Times New Roman" w:hAnsi="Arial" w:cs="Arial"/>
          <w:bCs/>
          <w:sz w:val="20"/>
          <w:szCs w:val="20"/>
          <w:lang w:eastAsia="es-CR"/>
        </w:rPr>
      </w:pPr>
    </w:p>
    <w:p w:rsidR="00623888" w:rsidRPr="00623888" w:rsidRDefault="00623888" w:rsidP="00623888">
      <w:pPr>
        <w:spacing w:after="0" w:line="240" w:lineRule="auto"/>
        <w:rPr>
          <w:rFonts w:ascii="Arial" w:eastAsia="Times New Roman" w:hAnsi="Arial" w:cs="Arial"/>
          <w:bCs/>
          <w:sz w:val="18"/>
          <w:szCs w:val="18"/>
          <w:lang w:eastAsia="es-CR"/>
        </w:rPr>
      </w:pPr>
      <w:r w:rsidRPr="00623888">
        <w:rPr>
          <w:rFonts w:ascii="Arial" w:eastAsia="Times New Roman" w:hAnsi="Arial" w:cs="Arial"/>
          <w:bCs/>
          <w:sz w:val="18"/>
          <w:szCs w:val="18"/>
          <w:lang w:eastAsia="es-CR"/>
        </w:rPr>
        <w:t>Nota Fuente: Informe de rendimiento de cuentas de área. (2017)</w:t>
      </w:r>
    </w:p>
    <w:p w:rsidR="00623888" w:rsidRPr="00623888" w:rsidRDefault="00623888" w:rsidP="00623888">
      <w:pPr>
        <w:spacing w:after="0" w:line="240" w:lineRule="auto"/>
        <w:rPr>
          <w:rFonts w:ascii="Arial" w:hAnsi="Arial" w:cs="Arial"/>
          <w:b/>
          <w:bCs/>
          <w:color w:val="000000"/>
          <w:sz w:val="18"/>
          <w:szCs w:val="18"/>
          <w:lang w:eastAsia="es-CR"/>
        </w:rPr>
      </w:pPr>
    </w:p>
    <w:p w:rsidR="00623888" w:rsidRDefault="00623888">
      <w:pPr>
        <w:rPr>
          <w:rFonts w:ascii="Arial" w:hAnsi="Arial" w:cs="Arial"/>
          <w:b/>
          <w:bCs/>
          <w:color w:val="000000"/>
          <w:lang w:eastAsia="es-CR"/>
        </w:rPr>
      </w:pPr>
      <w:r>
        <w:rPr>
          <w:rFonts w:ascii="Arial" w:hAnsi="Arial" w:cs="Arial"/>
          <w:b/>
          <w:bCs/>
          <w:color w:val="000000"/>
          <w:lang w:eastAsia="es-CR"/>
        </w:rPr>
        <w:br w:type="page"/>
      </w:r>
    </w:p>
    <w:p w:rsidR="00623888" w:rsidRDefault="00623888" w:rsidP="00623888">
      <w:pPr>
        <w:spacing w:after="0" w:line="240" w:lineRule="auto"/>
        <w:rPr>
          <w:rFonts w:ascii="Arial" w:hAnsi="Arial" w:cs="Arial"/>
          <w:b/>
          <w:bCs/>
          <w:color w:val="000000"/>
          <w:lang w:eastAsia="es-CR"/>
        </w:rPr>
      </w:pPr>
    </w:p>
    <w:p w:rsidR="00623888" w:rsidRPr="00623888" w:rsidRDefault="00623888" w:rsidP="00623888">
      <w:pPr>
        <w:spacing w:after="0" w:line="240" w:lineRule="auto"/>
        <w:jc w:val="both"/>
        <w:rPr>
          <w:rFonts w:ascii="Arial" w:hAnsi="Arial" w:cs="Arial"/>
          <w:b/>
          <w:bCs/>
          <w:color w:val="000000"/>
          <w:sz w:val="20"/>
          <w:szCs w:val="20"/>
          <w:lang w:eastAsia="es-CR"/>
        </w:rPr>
      </w:pPr>
      <w:r w:rsidRPr="00623888">
        <w:rPr>
          <w:rFonts w:ascii="Arial" w:hAnsi="Arial" w:cs="Arial"/>
          <w:b/>
          <w:bCs/>
          <w:color w:val="000000"/>
          <w:sz w:val="20"/>
          <w:szCs w:val="20"/>
          <w:lang w:eastAsia="es-CR"/>
        </w:rPr>
        <w:t>Indicador 51. Monto colocado en millones de colones para el otorgamiento de créditos a familias de escasos recursos económicos</w:t>
      </w:r>
    </w:p>
    <w:p w:rsidR="00623888" w:rsidRPr="00623888" w:rsidRDefault="00623888" w:rsidP="00623888">
      <w:pPr>
        <w:spacing w:after="0" w:line="240" w:lineRule="auto"/>
        <w:jc w:val="both"/>
        <w:rPr>
          <w:rFonts w:ascii="Arial" w:hAnsi="Arial" w:cs="Arial"/>
          <w:b/>
          <w:bCs/>
          <w:color w:val="000000"/>
          <w:sz w:val="20"/>
          <w:szCs w:val="20"/>
          <w:lang w:eastAsia="es-CR"/>
        </w:rPr>
      </w:pPr>
    </w:p>
    <w:p w:rsidR="00623888" w:rsidRPr="00623888" w:rsidRDefault="00623888" w:rsidP="00623888">
      <w:pPr>
        <w:spacing w:after="0" w:line="240" w:lineRule="auto"/>
        <w:jc w:val="both"/>
        <w:rPr>
          <w:rFonts w:ascii="Arial" w:hAnsi="Arial" w:cs="Arial"/>
          <w:bCs/>
          <w:color w:val="FF0000"/>
          <w:sz w:val="20"/>
          <w:szCs w:val="20"/>
          <w:lang w:eastAsia="es-CR"/>
        </w:rPr>
      </w:pPr>
      <w:r w:rsidRPr="00623888">
        <w:rPr>
          <w:rFonts w:ascii="Arial" w:hAnsi="Arial" w:cs="Arial"/>
          <w:bCs/>
          <w:color w:val="000000"/>
          <w:sz w:val="20"/>
          <w:szCs w:val="20"/>
          <w:lang w:eastAsia="es-CR"/>
        </w:rPr>
        <w:t>A diciembre el Reglamento para el otorgamiento de créditos hipotecarios de la Ley 9016 se encuentra en proceso.</w:t>
      </w:r>
    </w:p>
    <w:p w:rsidR="00623888" w:rsidRDefault="00623888" w:rsidP="00623888">
      <w:pPr>
        <w:spacing w:after="0" w:line="240" w:lineRule="auto"/>
        <w:jc w:val="both"/>
        <w:rPr>
          <w:rFonts w:ascii="Arial" w:hAnsi="Arial" w:cs="Arial"/>
          <w:bCs/>
          <w:color w:val="FF0000"/>
          <w:sz w:val="20"/>
          <w:szCs w:val="20"/>
          <w:lang w:eastAsia="es-CR"/>
        </w:rPr>
      </w:pPr>
    </w:p>
    <w:tbl>
      <w:tblPr>
        <w:tblW w:w="5115" w:type="pct"/>
        <w:tblBorders>
          <w:insideH w:val="single" w:sz="6" w:space="0" w:color="000000"/>
          <w:insideV w:val="single" w:sz="6" w:space="0" w:color="000000"/>
        </w:tblBorders>
        <w:tblLook w:val="04A0" w:firstRow="1" w:lastRow="0" w:firstColumn="1" w:lastColumn="0" w:noHBand="0" w:noVBand="1"/>
      </w:tblPr>
      <w:tblGrid>
        <w:gridCol w:w="9262"/>
      </w:tblGrid>
      <w:tr w:rsidR="00623888" w:rsidRPr="00623888" w:rsidTr="00BC1A0F">
        <w:trPr>
          <w:trHeight w:val="270"/>
        </w:trPr>
        <w:tc>
          <w:tcPr>
            <w:tcW w:w="5000" w:type="pct"/>
            <w:shd w:val="clear" w:color="auto" w:fill="auto"/>
            <w:noWrap/>
            <w:hideMark/>
          </w:tcPr>
          <w:p w:rsidR="00623888" w:rsidRDefault="00623888" w:rsidP="00623888">
            <w:pPr>
              <w:spacing w:after="0" w:line="240" w:lineRule="auto"/>
              <w:jc w:val="both"/>
              <w:rPr>
                <w:rFonts w:ascii="Arial" w:hAnsi="Arial" w:cs="Arial"/>
                <w:b/>
                <w:bCs/>
                <w:color w:val="000000"/>
                <w:sz w:val="20"/>
                <w:szCs w:val="20"/>
                <w:lang w:eastAsia="es-CR"/>
              </w:rPr>
            </w:pPr>
          </w:p>
          <w:p w:rsidR="00A70666" w:rsidRDefault="00A70666" w:rsidP="00623888">
            <w:pPr>
              <w:spacing w:after="0" w:line="240" w:lineRule="auto"/>
              <w:jc w:val="both"/>
              <w:rPr>
                <w:rFonts w:ascii="Arial" w:hAnsi="Arial" w:cs="Arial"/>
                <w:b/>
                <w:bCs/>
                <w:color w:val="000000"/>
                <w:sz w:val="20"/>
                <w:szCs w:val="20"/>
                <w:lang w:eastAsia="es-CR"/>
              </w:rPr>
            </w:pPr>
          </w:p>
          <w:p w:rsidR="00FC7F4D" w:rsidRPr="00623888" w:rsidRDefault="00FC7F4D" w:rsidP="00623888">
            <w:pPr>
              <w:spacing w:after="0" w:line="240" w:lineRule="auto"/>
              <w:jc w:val="both"/>
              <w:rPr>
                <w:rFonts w:ascii="Arial" w:hAnsi="Arial" w:cs="Arial"/>
                <w:b/>
                <w:bCs/>
                <w:color w:val="000000"/>
                <w:sz w:val="20"/>
                <w:szCs w:val="20"/>
                <w:lang w:eastAsia="es-CR"/>
              </w:rPr>
            </w:pPr>
          </w:p>
        </w:tc>
      </w:tr>
    </w:tbl>
    <w:p w:rsidR="00623888" w:rsidRPr="00623888" w:rsidRDefault="00623888" w:rsidP="00623888">
      <w:pPr>
        <w:pStyle w:val="Textoindependiente"/>
        <w:spacing w:after="0" w:line="240" w:lineRule="auto"/>
        <w:jc w:val="both"/>
        <w:rPr>
          <w:rFonts w:ascii="Arial" w:hAnsi="Arial" w:cs="Arial"/>
          <w:bCs/>
          <w:sz w:val="20"/>
          <w:szCs w:val="20"/>
          <w:lang w:eastAsia="es-CR"/>
        </w:rPr>
      </w:pPr>
      <w:r w:rsidRPr="00623888">
        <w:rPr>
          <w:rFonts w:ascii="Arial" w:hAnsi="Arial" w:cs="Arial"/>
          <w:bCs/>
          <w:sz w:val="20"/>
          <w:szCs w:val="20"/>
          <w:lang w:eastAsia="es-CR"/>
        </w:rPr>
        <w:t>El Programa IV cuenta con un total de 8 metas como se puede observar en el cuadro y gráfico siguiente, la meta se cumplió en 3 indicadores (38%), en 4 indicadores (50%) se cumplió en forma parcial y en 1 indicador (12%) no se alcanzó la meta.</w:t>
      </w:r>
    </w:p>
    <w:p w:rsidR="00623888" w:rsidRDefault="00623888" w:rsidP="00623888">
      <w:pPr>
        <w:pStyle w:val="Textocomentario"/>
        <w:spacing w:after="0"/>
        <w:jc w:val="both"/>
        <w:rPr>
          <w:rFonts w:ascii="Arial" w:hAnsi="Arial" w:cs="Arial"/>
          <w:bCs/>
          <w:lang w:eastAsia="es-CR"/>
        </w:rPr>
      </w:pPr>
    </w:p>
    <w:tbl>
      <w:tblPr>
        <w:tblW w:w="7165" w:type="dxa"/>
        <w:jc w:val="center"/>
        <w:tblCellMar>
          <w:left w:w="70" w:type="dxa"/>
          <w:right w:w="70" w:type="dxa"/>
        </w:tblCellMar>
        <w:tblLook w:val="04A0" w:firstRow="1" w:lastRow="0" w:firstColumn="1" w:lastColumn="0" w:noHBand="0" w:noVBand="1"/>
      </w:tblPr>
      <w:tblGrid>
        <w:gridCol w:w="1200"/>
        <w:gridCol w:w="1419"/>
        <w:gridCol w:w="1200"/>
        <w:gridCol w:w="1386"/>
        <w:gridCol w:w="1960"/>
      </w:tblGrid>
      <w:tr w:rsidR="00623888" w:rsidRPr="00623888" w:rsidTr="00BC1A0F">
        <w:trPr>
          <w:trHeight w:val="615"/>
          <w:jc w:val="center"/>
        </w:trPr>
        <w:tc>
          <w:tcPr>
            <w:tcW w:w="7165" w:type="dxa"/>
            <w:gridSpan w:val="5"/>
            <w:tcBorders>
              <w:top w:val="nil"/>
              <w:left w:val="nil"/>
              <w:bottom w:val="single" w:sz="4" w:space="0" w:color="auto"/>
              <w:right w:val="nil"/>
            </w:tcBorders>
            <w:shd w:val="clear" w:color="auto" w:fill="auto"/>
            <w:vAlign w:val="bottom"/>
            <w:hideMark/>
          </w:tcPr>
          <w:p w:rsidR="00623888" w:rsidRPr="00623888" w:rsidRDefault="00623888" w:rsidP="00BC1DD5">
            <w:pPr>
              <w:spacing w:after="0" w:line="240" w:lineRule="auto"/>
              <w:jc w:val="center"/>
              <w:rPr>
                <w:rFonts w:ascii="Arial" w:hAnsi="Arial" w:cs="Arial"/>
                <w:b/>
                <w:bCs/>
                <w:sz w:val="20"/>
                <w:szCs w:val="20"/>
                <w:lang w:eastAsia="es-CR"/>
              </w:rPr>
            </w:pPr>
            <w:r w:rsidRPr="00623888">
              <w:rPr>
                <w:rFonts w:ascii="Arial" w:hAnsi="Arial" w:cs="Arial"/>
                <w:b/>
                <w:bCs/>
                <w:sz w:val="20"/>
                <w:szCs w:val="20"/>
                <w:lang w:eastAsia="es-CR"/>
              </w:rPr>
              <w:t>Cuadro 1</w:t>
            </w:r>
            <w:r w:rsidR="00BC1DD5">
              <w:rPr>
                <w:rFonts w:ascii="Arial" w:hAnsi="Arial" w:cs="Arial"/>
                <w:b/>
                <w:bCs/>
                <w:sz w:val="20"/>
                <w:szCs w:val="20"/>
                <w:lang w:eastAsia="es-CR"/>
              </w:rPr>
              <w:t>6</w:t>
            </w:r>
            <w:r w:rsidRPr="00623888">
              <w:rPr>
                <w:rFonts w:ascii="Arial" w:hAnsi="Arial" w:cs="Arial"/>
                <w:b/>
                <w:bCs/>
                <w:sz w:val="20"/>
                <w:szCs w:val="20"/>
                <w:lang w:eastAsia="es-CR"/>
              </w:rPr>
              <w:t xml:space="preserve"> Comportamiento de las Metas del Programa IV</w:t>
            </w:r>
            <w:r w:rsidRPr="00623888">
              <w:rPr>
                <w:rFonts w:ascii="Arial" w:hAnsi="Arial" w:cs="Arial"/>
                <w:b/>
                <w:bCs/>
                <w:sz w:val="20"/>
                <w:szCs w:val="20"/>
                <w:lang w:eastAsia="es-CR"/>
              </w:rPr>
              <w:br/>
              <w:t>Enero - diciembre 2017</w:t>
            </w:r>
          </w:p>
        </w:tc>
      </w:tr>
      <w:tr w:rsidR="00623888" w:rsidRPr="00623888" w:rsidTr="00BC1A0F">
        <w:trPr>
          <w:trHeight w:val="300"/>
          <w:jc w:val="center"/>
        </w:trPr>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623888" w:rsidRPr="00623888" w:rsidRDefault="00623888" w:rsidP="00623888">
            <w:pPr>
              <w:spacing w:after="0" w:line="240" w:lineRule="auto"/>
              <w:jc w:val="center"/>
              <w:rPr>
                <w:rFonts w:ascii="Arial" w:hAnsi="Arial" w:cs="Arial"/>
                <w:b/>
                <w:bCs/>
                <w:sz w:val="20"/>
                <w:szCs w:val="20"/>
                <w:lang w:eastAsia="es-CR"/>
              </w:rPr>
            </w:pPr>
            <w:r w:rsidRPr="00623888">
              <w:rPr>
                <w:rFonts w:ascii="Arial" w:hAnsi="Arial" w:cs="Arial"/>
                <w:b/>
                <w:bCs/>
                <w:sz w:val="20"/>
                <w:szCs w:val="20"/>
                <w:lang w:eastAsia="es-CR"/>
              </w:rPr>
              <w:t>Valor / Metas</w:t>
            </w:r>
          </w:p>
        </w:tc>
        <w:tc>
          <w:tcPr>
            <w:tcW w:w="5965" w:type="dxa"/>
            <w:gridSpan w:val="4"/>
            <w:tcBorders>
              <w:top w:val="single" w:sz="4" w:space="0" w:color="auto"/>
              <w:left w:val="nil"/>
              <w:bottom w:val="single" w:sz="4" w:space="0" w:color="auto"/>
              <w:right w:val="single" w:sz="4" w:space="0" w:color="auto"/>
            </w:tcBorders>
            <w:shd w:val="clear" w:color="auto" w:fill="auto"/>
            <w:vAlign w:val="bottom"/>
            <w:hideMark/>
          </w:tcPr>
          <w:p w:rsidR="00623888" w:rsidRPr="00623888" w:rsidRDefault="00623888" w:rsidP="00623888">
            <w:pPr>
              <w:spacing w:after="0" w:line="240" w:lineRule="auto"/>
              <w:jc w:val="center"/>
              <w:rPr>
                <w:rFonts w:ascii="Arial" w:hAnsi="Arial" w:cs="Arial"/>
                <w:b/>
                <w:bCs/>
                <w:sz w:val="20"/>
                <w:szCs w:val="20"/>
                <w:lang w:eastAsia="es-CR"/>
              </w:rPr>
            </w:pPr>
            <w:r w:rsidRPr="00623888">
              <w:rPr>
                <w:rFonts w:ascii="Arial" w:hAnsi="Arial" w:cs="Arial"/>
                <w:b/>
                <w:bCs/>
                <w:sz w:val="20"/>
                <w:szCs w:val="20"/>
                <w:lang w:eastAsia="es-CR"/>
              </w:rPr>
              <w:t>Metas</w:t>
            </w:r>
          </w:p>
        </w:tc>
      </w:tr>
      <w:tr w:rsidR="00623888" w:rsidRPr="00623888" w:rsidTr="00BC1A0F">
        <w:trPr>
          <w:trHeight w:val="510"/>
          <w:jc w:val="center"/>
        </w:trPr>
        <w:tc>
          <w:tcPr>
            <w:tcW w:w="1200" w:type="dxa"/>
            <w:vMerge/>
            <w:tcBorders>
              <w:top w:val="nil"/>
              <w:left w:val="single" w:sz="4" w:space="0" w:color="auto"/>
              <w:bottom w:val="single" w:sz="4" w:space="0" w:color="auto"/>
              <w:right w:val="single" w:sz="4" w:space="0" w:color="auto"/>
            </w:tcBorders>
            <w:vAlign w:val="center"/>
            <w:hideMark/>
          </w:tcPr>
          <w:p w:rsidR="00623888" w:rsidRPr="00623888" w:rsidRDefault="00623888" w:rsidP="00623888">
            <w:pPr>
              <w:spacing w:after="0" w:line="240" w:lineRule="auto"/>
              <w:rPr>
                <w:rFonts w:ascii="Arial" w:hAnsi="Arial" w:cs="Arial"/>
                <w:b/>
                <w:bCs/>
                <w:sz w:val="20"/>
                <w:szCs w:val="20"/>
                <w:lang w:eastAsia="es-CR"/>
              </w:rPr>
            </w:pPr>
          </w:p>
        </w:tc>
        <w:tc>
          <w:tcPr>
            <w:tcW w:w="1419" w:type="dxa"/>
            <w:tcBorders>
              <w:top w:val="nil"/>
              <w:left w:val="nil"/>
              <w:bottom w:val="single" w:sz="4" w:space="0" w:color="auto"/>
              <w:right w:val="single" w:sz="4" w:space="0" w:color="auto"/>
            </w:tcBorders>
            <w:shd w:val="clear" w:color="auto" w:fill="auto"/>
            <w:vAlign w:val="center"/>
            <w:hideMark/>
          </w:tcPr>
          <w:p w:rsidR="00623888" w:rsidRPr="00623888" w:rsidRDefault="00623888" w:rsidP="00623888">
            <w:pPr>
              <w:spacing w:after="0" w:line="240" w:lineRule="auto"/>
              <w:jc w:val="center"/>
              <w:rPr>
                <w:rFonts w:ascii="Arial" w:hAnsi="Arial" w:cs="Arial"/>
                <w:b/>
                <w:bCs/>
                <w:sz w:val="20"/>
                <w:szCs w:val="20"/>
                <w:lang w:eastAsia="es-CR"/>
              </w:rPr>
            </w:pPr>
            <w:r w:rsidRPr="00623888">
              <w:rPr>
                <w:rFonts w:ascii="Arial" w:hAnsi="Arial" w:cs="Arial"/>
                <w:b/>
                <w:bCs/>
                <w:sz w:val="20"/>
                <w:szCs w:val="20"/>
                <w:lang w:eastAsia="es-CR"/>
              </w:rPr>
              <w:t>Programadas</w:t>
            </w:r>
          </w:p>
        </w:tc>
        <w:tc>
          <w:tcPr>
            <w:tcW w:w="1200" w:type="dxa"/>
            <w:tcBorders>
              <w:top w:val="nil"/>
              <w:left w:val="nil"/>
              <w:bottom w:val="single" w:sz="4" w:space="0" w:color="auto"/>
              <w:right w:val="single" w:sz="4" w:space="0" w:color="auto"/>
            </w:tcBorders>
            <w:shd w:val="clear" w:color="auto" w:fill="auto"/>
            <w:vAlign w:val="center"/>
            <w:hideMark/>
          </w:tcPr>
          <w:p w:rsidR="00623888" w:rsidRPr="00623888" w:rsidRDefault="00623888" w:rsidP="00623888">
            <w:pPr>
              <w:spacing w:after="0" w:line="240" w:lineRule="auto"/>
              <w:jc w:val="center"/>
              <w:rPr>
                <w:rFonts w:ascii="Arial" w:hAnsi="Arial" w:cs="Arial"/>
                <w:b/>
                <w:bCs/>
                <w:sz w:val="20"/>
                <w:szCs w:val="20"/>
                <w:lang w:eastAsia="es-CR"/>
              </w:rPr>
            </w:pPr>
            <w:r w:rsidRPr="00623888">
              <w:rPr>
                <w:rFonts w:ascii="Arial" w:hAnsi="Arial" w:cs="Arial"/>
                <w:b/>
                <w:bCs/>
                <w:sz w:val="20"/>
                <w:szCs w:val="20"/>
                <w:lang w:eastAsia="es-CR"/>
              </w:rPr>
              <w:t>Cumplidas</w:t>
            </w:r>
          </w:p>
        </w:tc>
        <w:tc>
          <w:tcPr>
            <w:tcW w:w="1386" w:type="dxa"/>
            <w:tcBorders>
              <w:top w:val="nil"/>
              <w:left w:val="nil"/>
              <w:bottom w:val="single" w:sz="4" w:space="0" w:color="auto"/>
              <w:right w:val="single" w:sz="4" w:space="0" w:color="auto"/>
            </w:tcBorders>
            <w:shd w:val="clear" w:color="auto" w:fill="auto"/>
            <w:vAlign w:val="center"/>
            <w:hideMark/>
          </w:tcPr>
          <w:p w:rsidR="00623888" w:rsidRPr="00623888" w:rsidRDefault="00623888" w:rsidP="00623888">
            <w:pPr>
              <w:spacing w:after="0" w:line="240" w:lineRule="auto"/>
              <w:jc w:val="center"/>
              <w:rPr>
                <w:rFonts w:ascii="Arial" w:hAnsi="Arial" w:cs="Arial"/>
                <w:b/>
                <w:bCs/>
                <w:sz w:val="20"/>
                <w:szCs w:val="20"/>
                <w:lang w:eastAsia="es-CR"/>
              </w:rPr>
            </w:pPr>
            <w:r w:rsidRPr="00623888">
              <w:rPr>
                <w:rFonts w:ascii="Arial" w:hAnsi="Arial" w:cs="Arial"/>
                <w:b/>
                <w:bCs/>
                <w:sz w:val="20"/>
                <w:szCs w:val="20"/>
                <w:lang w:eastAsia="es-CR"/>
              </w:rPr>
              <w:t>Parcialmente</w:t>
            </w:r>
          </w:p>
          <w:p w:rsidR="00623888" w:rsidRPr="00623888" w:rsidRDefault="00623888" w:rsidP="00623888">
            <w:pPr>
              <w:spacing w:after="0" w:line="240" w:lineRule="auto"/>
              <w:jc w:val="center"/>
              <w:rPr>
                <w:rFonts w:ascii="Arial" w:hAnsi="Arial" w:cs="Arial"/>
                <w:b/>
                <w:bCs/>
                <w:sz w:val="20"/>
                <w:szCs w:val="20"/>
                <w:lang w:eastAsia="es-CR"/>
              </w:rPr>
            </w:pPr>
            <w:r w:rsidRPr="00623888">
              <w:rPr>
                <w:rFonts w:ascii="Arial" w:hAnsi="Arial" w:cs="Arial"/>
                <w:b/>
                <w:bCs/>
                <w:sz w:val="20"/>
                <w:szCs w:val="20"/>
                <w:lang w:eastAsia="es-CR"/>
              </w:rPr>
              <w:t>Cumplidas</w:t>
            </w:r>
          </w:p>
        </w:tc>
        <w:tc>
          <w:tcPr>
            <w:tcW w:w="1960" w:type="dxa"/>
            <w:tcBorders>
              <w:top w:val="nil"/>
              <w:left w:val="nil"/>
              <w:bottom w:val="single" w:sz="4" w:space="0" w:color="auto"/>
              <w:right w:val="single" w:sz="4" w:space="0" w:color="auto"/>
            </w:tcBorders>
            <w:shd w:val="clear" w:color="auto" w:fill="auto"/>
            <w:vAlign w:val="center"/>
            <w:hideMark/>
          </w:tcPr>
          <w:p w:rsidR="00623888" w:rsidRPr="00623888" w:rsidRDefault="00623888" w:rsidP="00623888">
            <w:pPr>
              <w:spacing w:after="0" w:line="240" w:lineRule="auto"/>
              <w:jc w:val="center"/>
              <w:rPr>
                <w:rFonts w:ascii="Arial" w:hAnsi="Arial" w:cs="Arial"/>
                <w:b/>
                <w:bCs/>
                <w:sz w:val="20"/>
                <w:szCs w:val="20"/>
                <w:lang w:eastAsia="es-CR"/>
              </w:rPr>
            </w:pPr>
            <w:r w:rsidRPr="00623888">
              <w:rPr>
                <w:rFonts w:ascii="Arial" w:hAnsi="Arial" w:cs="Arial"/>
                <w:b/>
                <w:bCs/>
                <w:sz w:val="20"/>
                <w:szCs w:val="20"/>
                <w:lang w:eastAsia="es-CR"/>
              </w:rPr>
              <w:t>Incumplidas</w:t>
            </w:r>
          </w:p>
        </w:tc>
      </w:tr>
      <w:tr w:rsidR="00623888" w:rsidRPr="00623888" w:rsidTr="00BC1A0F">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623888" w:rsidRPr="00623888" w:rsidRDefault="00623888" w:rsidP="00623888">
            <w:pPr>
              <w:spacing w:after="0" w:line="240" w:lineRule="auto"/>
              <w:rPr>
                <w:rFonts w:ascii="Arial" w:hAnsi="Arial" w:cs="Arial"/>
                <w:sz w:val="20"/>
                <w:szCs w:val="20"/>
                <w:lang w:eastAsia="es-CR"/>
              </w:rPr>
            </w:pPr>
            <w:r w:rsidRPr="00623888">
              <w:rPr>
                <w:rFonts w:ascii="Arial" w:hAnsi="Arial" w:cs="Arial"/>
                <w:sz w:val="20"/>
                <w:szCs w:val="20"/>
                <w:lang w:eastAsia="es-CR"/>
              </w:rPr>
              <w:t xml:space="preserve">Absoluto </w:t>
            </w:r>
          </w:p>
        </w:tc>
        <w:tc>
          <w:tcPr>
            <w:tcW w:w="1419" w:type="dxa"/>
            <w:tcBorders>
              <w:top w:val="nil"/>
              <w:left w:val="nil"/>
              <w:bottom w:val="single" w:sz="4" w:space="0" w:color="auto"/>
              <w:right w:val="single" w:sz="4" w:space="0" w:color="auto"/>
            </w:tcBorders>
            <w:shd w:val="clear" w:color="auto" w:fill="auto"/>
            <w:noWrap/>
            <w:vAlign w:val="bottom"/>
          </w:tcPr>
          <w:p w:rsidR="00623888" w:rsidRPr="00623888" w:rsidRDefault="00623888" w:rsidP="00623888">
            <w:pPr>
              <w:spacing w:after="0" w:line="240" w:lineRule="auto"/>
              <w:jc w:val="center"/>
              <w:rPr>
                <w:rFonts w:ascii="Arial" w:hAnsi="Arial" w:cs="Arial"/>
                <w:color w:val="000000"/>
                <w:sz w:val="20"/>
                <w:szCs w:val="20"/>
              </w:rPr>
            </w:pPr>
            <w:r w:rsidRPr="00623888">
              <w:rPr>
                <w:rFonts w:ascii="Arial" w:hAnsi="Arial" w:cs="Arial"/>
                <w:color w:val="000000"/>
                <w:sz w:val="20"/>
                <w:szCs w:val="20"/>
              </w:rPr>
              <w:t>8</w:t>
            </w:r>
          </w:p>
        </w:tc>
        <w:tc>
          <w:tcPr>
            <w:tcW w:w="1200" w:type="dxa"/>
            <w:tcBorders>
              <w:top w:val="nil"/>
              <w:left w:val="nil"/>
              <w:bottom w:val="single" w:sz="4" w:space="0" w:color="auto"/>
              <w:right w:val="single" w:sz="4" w:space="0" w:color="auto"/>
            </w:tcBorders>
            <w:shd w:val="clear" w:color="auto" w:fill="auto"/>
            <w:noWrap/>
            <w:vAlign w:val="bottom"/>
          </w:tcPr>
          <w:p w:rsidR="00623888" w:rsidRPr="00623888" w:rsidRDefault="00623888" w:rsidP="00623888">
            <w:pPr>
              <w:spacing w:after="0" w:line="240" w:lineRule="auto"/>
              <w:jc w:val="center"/>
              <w:rPr>
                <w:rFonts w:ascii="Arial" w:hAnsi="Arial" w:cs="Arial"/>
                <w:color w:val="000000"/>
                <w:sz w:val="20"/>
                <w:szCs w:val="20"/>
              </w:rPr>
            </w:pPr>
            <w:r w:rsidRPr="00623888">
              <w:rPr>
                <w:rFonts w:ascii="Arial" w:hAnsi="Arial" w:cs="Arial"/>
                <w:color w:val="000000"/>
                <w:sz w:val="20"/>
                <w:szCs w:val="20"/>
              </w:rPr>
              <w:t>3</w:t>
            </w:r>
          </w:p>
        </w:tc>
        <w:tc>
          <w:tcPr>
            <w:tcW w:w="1386" w:type="dxa"/>
            <w:tcBorders>
              <w:top w:val="nil"/>
              <w:left w:val="nil"/>
              <w:bottom w:val="single" w:sz="4" w:space="0" w:color="auto"/>
              <w:right w:val="single" w:sz="4" w:space="0" w:color="auto"/>
            </w:tcBorders>
            <w:shd w:val="clear" w:color="auto" w:fill="auto"/>
            <w:noWrap/>
            <w:vAlign w:val="bottom"/>
          </w:tcPr>
          <w:p w:rsidR="00623888" w:rsidRPr="00623888" w:rsidRDefault="00623888" w:rsidP="00623888">
            <w:pPr>
              <w:spacing w:after="0" w:line="240" w:lineRule="auto"/>
              <w:jc w:val="center"/>
              <w:rPr>
                <w:rFonts w:ascii="Arial" w:hAnsi="Arial" w:cs="Arial"/>
                <w:color w:val="000000"/>
                <w:sz w:val="20"/>
                <w:szCs w:val="20"/>
              </w:rPr>
            </w:pPr>
            <w:r w:rsidRPr="00623888">
              <w:rPr>
                <w:rFonts w:ascii="Arial" w:hAnsi="Arial" w:cs="Arial"/>
                <w:color w:val="000000"/>
                <w:sz w:val="20"/>
                <w:szCs w:val="20"/>
              </w:rPr>
              <w:t>4</w:t>
            </w:r>
          </w:p>
        </w:tc>
        <w:tc>
          <w:tcPr>
            <w:tcW w:w="1960" w:type="dxa"/>
            <w:tcBorders>
              <w:top w:val="nil"/>
              <w:left w:val="nil"/>
              <w:bottom w:val="single" w:sz="4" w:space="0" w:color="auto"/>
              <w:right w:val="single" w:sz="4" w:space="0" w:color="auto"/>
            </w:tcBorders>
            <w:shd w:val="clear" w:color="auto" w:fill="auto"/>
            <w:noWrap/>
            <w:vAlign w:val="bottom"/>
          </w:tcPr>
          <w:p w:rsidR="00623888" w:rsidRPr="00623888" w:rsidRDefault="00623888" w:rsidP="00623888">
            <w:pPr>
              <w:spacing w:after="0" w:line="240" w:lineRule="auto"/>
              <w:jc w:val="center"/>
              <w:rPr>
                <w:rFonts w:ascii="Arial" w:hAnsi="Arial" w:cs="Arial"/>
                <w:color w:val="000000"/>
                <w:sz w:val="20"/>
                <w:szCs w:val="20"/>
              </w:rPr>
            </w:pPr>
            <w:r w:rsidRPr="00623888">
              <w:rPr>
                <w:rFonts w:ascii="Arial" w:hAnsi="Arial" w:cs="Arial"/>
                <w:color w:val="000000"/>
                <w:sz w:val="20"/>
                <w:szCs w:val="20"/>
              </w:rPr>
              <w:t>1</w:t>
            </w:r>
          </w:p>
        </w:tc>
      </w:tr>
      <w:tr w:rsidR="00623888" w:rsidRPr="00623888" w:rsidTr="00BC1A0F">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623888" w:rsidRPr="00623888" w:rsidRDefault="00623888" w:rsidP="00623888">
            <w:pPr>
              <w:spacing w:after="0" w:line="240" w:lineRule="auto"/>
              <w:rPr>
                <w:rFonts w:ascii="Arial" w:hAnsi="Arial" w:cs="Arial"/>
                <w:sz w:val="20"/>
                <w:szCs w:val="20"/>
                <w:lang w:eastAsia="es-CR"/>
              </w:rPr>
            </w:pPr>
            <w:r w:rsidRPr="00623888">
              <w:rPr>
                <w:rFonts w:ascii="Arial" w:hAnsi="Arial" w:cs="Arial"/>
                <w:sz w:val="20"/>
                <w:szCs w:val="20"/>
                <w:lang w:eastAsia="es-CR"/>
              </w:rPr>
              <w:t>Porcentual</w:t>
            </w:r>
          </w:p>
        </w:tc>
        <w:tc>
          <w:tcPr>
            <w:tcW w:w="1419" w:type="dxa"/>
            <w:tcBorders>
              <w:top w:val="nil"/>
              <w:left w:val="nil"/>
              <w:bottom w:val="single" w:sz="4" w:space="0" w:color="auto"/>
              <w:right w:val="single" w:sz="4" w:space="0" w:color="auto"/>
            </w:tcBorders>
            <w:shd w:val="clear" w:color="auto" w:fill="auto"/>
            <w:noWrap/>
            <w:vAlign w:val="bottom"/>
          </w:tcPr>
          <w:p w:rsidR="00623888" w:rsidRPr="00623888" w:rsidRDefault="00623888" w:rsidP="00623888">
            <w:pPr>
              <w:spacing w:after="0" w:line="240" w:lineRule="auto"/>
              <w:jc w:val="center"/>
              <w:rPr>
                <w:rFonts w:ascii="Arial" w:hAnsi="Arial" w:cs="Arial"/>
                <w:color w:val="000000"/>
                <w:sz w:val="20"/>
                <w:szCs w:val="20"/>
              </w:rPr>
            </w:pPr>
            <w:r w:rsidRPr="00623888">
              <w:rPr>
                <w:rFonts w:ascii="Arial" w:hAnsi="Arial" w:cs="Arial"/>
                <w:color w:val="000000"/>
                <w:sz w:val="20"/>
                <w:szCs w:val="20"/>
              </w:rPr>
              <w:t>100%</w:t>
            </w:r>
          </w:p>
        </w:tc>
        <w:tc>
          <w:tcPr>
            <w:tcW w:w="1200" w:type="dxa"/>
            <w:tcBorders>
              <w:top w:val="nil"/>
              <w:left w:val="nil"/>
              <w:bottom w:val="single" w:sz="4" w:space="0" w:color="auto"/>
              <w:right w:val="single" w:sz="4" w:space="0" w:color="auto"/>
            </w:tcBorders>
            <w:shd w:val="clear" w:color="auto" w:fill="auto"/>
            <w:noWrap/>
            <w:vAlign w:val="bottom"/>
          </w:tcPr>
          <w:p w:rsidR="00623888" w:rsidRPr="00623888" w:rsidRDefault="00623888" w:rsidP="00623888">
            <w:pPr>
              <w:spacing w:after="0" w:line="240" w:lineRule="auto"/>
              <w:jc w:val="center"/>
              <w:rPr>
                <w:rFonts w:ascii="Arial" w:hAnsi="Arial" w:cs="Arial"/>
                <w:color w:val="000000"/>
                <w:sz w:val="20"/>
                <w:szCs w:val="20"/>
              </w:rPr>
            </w:pPr>
            <w:r w:rsidRPr="00623888">
              <w:rPr>
                <w:rFonts w:ascii="Arial" w:hAnsi="Arial" w:cs="Arial"/>
                <w:color w:val="000000"/>
                <w:sz w:val="20"/>
                <w:szCs w:val="20"/>
              </w:rPr>
              <w:t>38%</w:t>
            </w:r>
          </w:p>
        </w:tc>
        <w:tc>
          <w:tcPr>
            <w:tcW w:w="1386" w:type="dxa"/>
            <w:tcBorders>
              <w:top w:val="nil"/>
              <w:left w:val="nil"/>
              <w:bottom w:val="single" w:sz="4" w:space="0" w:color="auto"/>
              <w:right w:val="single" w:sz="4" w:space="0" w:color="auto"/>
            </w:tcBorders>
            <w:shd w:val="clear" w:color="auto" w:fill="auto"/>
            <w:noWrap/>
            <w:vAlign w:val="bottom"/>
          </w:tcPr>
          <w:p w:rsidR="00623888" w:rsidRPr="00623888" w:rsidRDefault="00623888" w:rsidP="00623888">
            <w:pPr>
              <w:spacing w:after="0" w:line="240" w:lineRule="auto"/>
              <w:jc w:val="center"/>
              <w:rPr>
                <w:rFonts w:ascii="Arial" w:hAnsi="Arial" w:cs="Arial"/>
                <w:color w:val="000000"/>
                <w:sz w:val="20"/>
                <w:szCs w:val="20"/>
              </w:rPr>
            </w:pPr>
            <w:r w:rsidRPr="00623888">
              <w:rPr>
                <w:rFonts w:ascii="Arial" w:hAnsi="Arial" w:cs="Arial"/>
                <w:color w:val="000000"/>
                <w:sz w:val="20"/>
                <w:szCs w:val="20"/>
              </w:rPr>
              <w:t>50%</w:t>
            </w:r>
          </w:p>
        </w:tc>
        <w:tc>
          <w:tcPr>
            <w:tcW w:w="1960" w:type="dxa"/>
            <w:tcBorders>
              <w:top w:val="nil"/>
              <w:left w:val="nil"/>
              <w:bottom w:val="single" w:sz="4" w:space="0" w:color="auto"/>
              <w:right w:val="single" w:sz="4" w:space="0" w:color="auto"/>
            </w:tcBorders>
            <w:shd w:val="clear" w:color="auto" w:fill="auto"/>
            <w:noWrap/>
            <w:vAlign w:val="bottom"/>
          </w:tcPr>
          <w:p w:rsidR="00623888" w:rsidRPr="00623888" w:rsidRDefault="00623888" w:rsidP="00623888">
            <w:pPr>
              <w:spacing w:after="0" w:line="240" w:lineRule="auto"/>
              <w:jc w:val="center"/>
              <w:rPr>
                <w:rFonts w:ascii="Arial" w:hAnsi="Arial" w:cs="Arial"/>
                <w:color w:val="000000"/>
                <w:sz w:val="20"/>
                <w:szCs w:val="20"/>
              </w:rPr>
            </w:pPr>
            <w:r w:rsidRPr="00623888">
              <w:rPr>
                <w:rFonts w:ascii="Arial" w:hAnsi="Arial" w:cs="Arial"/>
                <w:color w:val="000000"/>
                <w:sz w:val="20"/>
                <w:szCs w:val="20"/>
              </w:rPr>
              <w:t>12%</w:t>
            </w:r>
          </w:p>
        </w:tc>
      </w:tr>
      <w:tr w:rsidR="00623888" w:rsidRPr="00623888" w:rsidTr="00BC1A0F">
        <w:trPr>
          <w:trHeight w:val="300"/>
          <w:jc w:val="center"/>
        </w:trPr>
        <w:tc>
          <w:tcPr>
            <w:tcW w:w="7165" w:type="dxa"/>
            <w:gridSpan w:val="5"/>
            <w:tcBorders>
              <w:top w:val="nil"/>
              <w:left w:val="nil"/>
              <w:bottom w:val="nil"/>
              <w:right w:val="nil"/>
            </w:tcBorders>
            <w:shd w:val="clear" w:color="auto" w:fill="auto"/>
            <w:noWrap/>
            <w:vAlign w:val="bottom"/>
            <w:hideMark/>
          </w:tcPr>
          <w:p w:rsidR="00623888" w:rsidRPr="00623888" w:rsidRDefault="00623888" w:rsidP="00623888">
            <w:pPr>
              <w:spacing w:after="0" w:line="240" w:lineRule="auto"/>
              <w:rPr>
                <w:rFonts w:ascii="Arial" w:hAnsi="Arial" w:cs="Arial"/>
                <w:sz w:val="20"/>
                <w:szCs w:val="20"/>
                <w:lang w:eastAsia="es-CR"/>
              </w:rPr>
            </w:pPr>
            <w:r w:rsidRPr="00623888">
              <w:rPr>
                <w:rFonts w:ascii="Arial" w:hAnsi="Arial" w:cs="Arial"/>
                <w:sz w:val="20"/>
                <w:szCs w:val="20"/>
                <w:lang w:eastAsia="es-CR"/>
              </w:rPr>
              <w:t>Fuente: Informe de rendimiento de cuentas del área. (2017)</w:t>
            </w:r>
          </w:p>
        </w:tc>
      </w:tr>
    </w:tbl>
    <w:p w:rsidR="00623888" w:rsidRPr="00623888" w:rsidRDefault="00623888" w:rsidP="00623888">
      <w:pPr>
        <w:spacing w:after="0" w:line="240" w:lineRule="auto"/>
        <w:rPr>
          <w:rFonts w:ascii="Arial" w:hAnsi="Arial" w:cs="Arial"/>
          <w:sz w:val="20"/>
          <w:szCs w:val="20"/>
        </w:rPr>
      </w:pPr>
    </w:p>
    <w:p w:rsidR="00623888" w:rsidRDefault="00623888" w:rsidP="00623888">
      <w:pPr>
        <w:spacing w:after="0" w:line="240" w:lineRule="auto"/>
        <w:ind w:left="719"/>
        <w:jc w:val="both"/>
        <w:rPr>
          <w:rFonts w:ascii="Arial" w:hAnsi="Arial" w:cs="Arial"/>
          <w:color w:val="4F81BD"/>
        </w:rPr>
      </w:pPr>
    </w:p>
    <w:p w:rsidR="00623888" w:rsidRDefault="00623888" w:rsidP="00623888">
      <w:pPr>
        <w:spacing w:after="0" w:line="240" w:lineRule="auto"/>
        <w:jc w:val="center"/>
      </w:pPr>
    </w:p>
    <w:p w:rsidR="00623888" w:rsidRDefault="00623888" w:rsidP="00623888">
      <w:pPr>
        <w:spacing w:after="0" w:line="240" w:lineRule="auto"/>
        <w:jc w:val="center"/>
        <w:rPr>
          <w:rFonts w:ascii="Arial" w:hAnsi="Arial" w:cs="Arial"/>
          <w:color w:val="000000"/>
          <w:sz w:val="18"/>
          <w:szCs w:val="18"/>
          <w:lang w:eastAsia="es-CR"/>
        </w:rPr>
      </w:pPr>
      <w:r>
        <w:rPr>
          <w:rFonts w:ascii="Arial" w:hAnsi="Arial" w:cs="Arial"/>
          <w:color w:val="000000"/>
          <w:sz w:val="18"/>
          <w:szCs w:val="18"/>
          <w:lang w:eastAsia="es-CR"/>
        </w:rPr>
        <w:fldChar w:fldCharType="begin"/>
      </w:r>
      <w:r>
        <w:rPr>
          <w:rFonts w:ascii="Arial" w:hAnsi="Arial" w:cs="Arial"/>
          <w:color w:val="000000"/>
          <w:sz w:val="18"/>
          <w:szCs w:val="18"/>
          <w:lang w:eastAsia="es-CR"/>
        </w:rPr>
        <w:instrText xml:space="preserve"> LINK Excel.Sheet.12 "" "" \a \p </w:instrText>
      </w:r>
      <w:r>
        <w:rPr>
          <w:rFonts w:ascii="Arial" w:hAnsi="Arial" w:cs="Arial"/>
          <w:color w:val="000000"/>
          <w:sz w:val="18"/>
          <w:szCs w:val="18"/>
          <w:lang w:eastAsia="es-CR"/>
        </w:rPr>
        <w:fldChar w:fldCharType="separate"/>
      </w:r>
      <w:r w:rsidR="00C16C06">
        <w:rPr>
          <w:rFonts w:ascii="Arial" w:hAnsi="Arial" w:cs="Arial"/>
          <w:color w:val="000000"/>
          <w:sz w:val="18"/>
          <w:szCs w:val="18"/>
          <w:lang w:eastAsia="es-CR"/>
        </w:rPr>
        <w:object w:dxaOrig="9930" w:dyaOrig="5596">
          <v:shape id="_x0000_i1074" type="#_x0000_t75" style="width:371.45pt;height:210.6pt" o:ole="">
            <v:imagedata r:id="rId28" o:title=""/>
          </v:shape>
        </w:object>
      </w:r>
      <w:r>
        <w:rPr>
          <w:rFonts w:ascii="Arial" w:hAnsi="Arial" w:cs="Arial"/>
          <w:color w:val="000000"/>
          <w:sz w:val="18"/>
          <w:szCs w:val="18"/>
          <w:lang w:eastAsia="es-CR"/>
        </w:rPr>
        <w:fldChar w:fldCharType="end"/>
      </w:r>
    </w:p>
    <w:p w:rsidR="00623888" w:rsidRPr="006F15AC" w:rsidRDefault="00623888" w:rsidP="00623888">
      <w:pPr>
        <w:spacing w:after="0" w:line="240" w:lineRule="auto"/>
        <w:jc w:val="both"/>
        <w:rPr>
          <w:rFonts w:ascii="Arial" w:hAnsi="Arial" w:cs="Arial"/>
          <w:color w:val="4F81BD"/>
        </w:rPr>
      </w:pPr>
      <w:r>
        <w:rPr>
          <w:rFonts w:ascii="Arial" w:hAnsi="Arial" w:cs="Arial"/>
          <w:color w:val="000000"/>
          <w:sz w:val="18"/>
          <w:szCs w:val="18"/>
          <w:lang w:eastAsia="es-CR"/>
        </w:rPr>
        <w:t xml:space="preserve">                     </w:t>
      </w:r>
      <w:r w:rsidRPr="00F41FD7">
        <w:rPr>
          <w:rFonts w:ascii="Arial" w:hAnsi="Arial" w:cs="Arial"/>
          <w:color w:val="000000"/>
          <w:sz w:val="18"/>
          <w:szCs w:val="18"/>
          <w:lang w:eastAsia="es-CR"/>
        </w:rPr>
        <w:t>Fuente: Informe de rendimiento de cuentas del área. (201</w:t>
      </w:r>
      <w:r>
        <w:rPr>
          <w:rFonts w:ascii="Arial" w:hAnsi="Arial" w:cs="Arial"/>
          <w:color w:val="000000"/>
          <w:sz w:val="18"/>
          <w:szCs w:val="18"/>
          <w:lang w:eastAsia="es-CR"/>
        </w:rPr>
        <w:t>7</w:t>
      </w:r>
      <w:r w:rsidRPr="00F41FD7">
        <w:rPr>
          <w:rFonts w:ascii="Arial" w:hAnsi="Arial" w:cs="Arial"/>
          <w:color w:val="000000"/>
          <w:sz w:val="18"/>
          <w:szCs w:val="18"/>
          <w:lang w:eastAsia="es-CR"/>
        </w:rPr>
        <w:t>)</w:t>
      </w:r>
      <w:r w:rsidRPr="00B2433D">
        <w:rPr>
          <w:rFonts w:ascii="Arial" w:hAnsi="Arial" w:cs="Arial"/>
          <w:color w:val="000000"/>
          <w:sz w:val="18"/>
          <w:szCs w:val="18"/>
          <w:lang w:eastAsia="es-CR"/>
        </w:rPr>
        <w:t xml:space="preserve"> </w:t>
      </w:r>
    </w:p>
    <w:p w:rsidR="00DF2DA4" w:rsidRPr="00DF2DA4" w:rsidRDefault="00DA62C0" w:rsidP="00DF2DA4">
      <w:pPr>
        <w:pStyle w:val="Ttulo1"/>
        <w:keepLines w:val="0"/>
        <w:numPr>
          <w:ilvl w:val="0"/>
          <w:numId w:val="1"/>
        </w:numPr>
        <w:spacing w:after="60" w:line="240" w:lineRule="auto"/>
        <w:jc w:val="both"/>
        <w:rPr>
          <w:rFonts w:ascii="Arial" w:eastAsia="Times New Roman" w:hAnsi="Arial" w:cs="Arial"/>
          <w:b/>
          <w:bCs/>
          <w:color w:val="auto"/>
          <w:kern w:val="32"/>
          <w:sz w:val="20"/>
          <w:szCs w:val="20"/>
          <w:lang w:eastAsia="es-ES"/>
        </w:rPr>
      </w:pPr>
      <w:r>
        <w:rPr>
          <w:rFonts w:ascii="Arial" w:eastAsia="Times New Roman" w:hAnsi="Arial" w:cs="Arial"/>
          <w:sz w:val="20"/>
          <w:szCs w:val="20"/>
          <w:lang w:val="es-ES" w:eastAsia="es-ES"/>
        </w:rPr>
        <w:br w:type="page"/>
      </w:r>
      <w:r w:rsidR="00DF2DA4" w:rsidRPr="00DF2DA4">
        <w:rPr>
          <w:rFonts w:ascii="Arial" w:eastAsia="Times New Roman" w:hAnsi="Arial" w:cs="Arial"/>
          <w:b/>
          <w:bCs/>
          <w:color w:val="auto"/>
          <w:kern w:val="32"/>
          <w:sz w:val="20"/>
          <w:szCs w:val="20"/>
          <w:lang w:eastAsia="es-ES"/>
        </w:rPr>
        <w:lastRenderedPageBreak/>
        <w:t xml:space="preserve">CONTRIBUCIÓN DEL INSTITUTO NACIONAL DE VIVIENDA Y URBANISMO </w:t>
      </w:r>
      <w:r w:rsidR="00DF2DA4" w:rsidRPr="00DF2DA4">
        <w:rPr>
          <w:rFonts w:ascii="Arial" w:hAnsi="Arial" w:cs="Arial"/>
          <w:b/>
          <w:color w:val="auto"/>
          <w:sz w:val="20"/>
          <w:szCs w:val="20"/>
        </w:rPr>
        <w:t>AL PLAN NACIONAL DE DESARROLLO 2014-2018, PERÍODO 2017</w:t>
      </w:r>
    </w:p>
    <w:p w:rsidR="00DF2DA4" w:rsidRPr="00DF2DA4" w:rsidRDefault="00DF2DA4" w:rsidP="00DF2DA4">
      <w:pPr>
        <w:spacing w:after="0" w:line="240" w:lineRule="auto"/>
        <w:jc w:val="both"/>
        <w:rPr>
          <w:rFonts w:ascii="Arial" w:hAnsi="Arial" w:cs="Arial"/>
          <w:sz w:val="20"/>
          <w:szCs w:val="20"/>
        </w:rPr>
      </w:pPr>
    </w:p>
    <w:p w:rsidR="00DF2DA4" w:rsidRPr="00DF2DA4" w:rsidRDefault="00DF2DA4" w:rsidP="00DF2DA4">
      <w:pPr>
        <w:spacing w:after="0" w:line="240" w:lineRule="auto"/>
        <w:jc w:val="both"/>
        <w:rPr>
          <w:rFonts w:ascii="Arial" w:hAnsi="Arial" w:cs="Arial"/>
          <w:sz w:val="20"/>
          <w:szCs w:val="20"/>
        </w:rPr>
      </w:pPr>
      <w:r w:rsidRPr="00DF2DA4">
        <w:rPr>
          <w:rFonts w:ascii="Arial" w:hAnsi="Arial" w:cs="Arial"/>
          <w:sz w:val="20"/>
          <w:szCs w:val="20"/>
        </w:rPr>
        <w:t>En este apartado se destaca la contribución del Instituto Nacional de Vivienda y Urbanismo (INVU) al logro de los objetivos y metas del Plan Nacional de Desarrollo (PND).</w:t>
      </w:r>
    </w:p>
    <w:p w:rsidR="00DF2DA4" w:rsidRPr="00DF2DA4" w:rsidRDefault="00DF2DA4" w:rsidP="00DF2DA4">
      <w:pPr>
        <w:spacing w:after="0" w:line="240" w:lineRule="auto"/>
        <w:jc w:val="both"/>
        <w:rPr>
          <w:rFonts w:ascii="Arial" w:hAnsi="Arial" w:cs="Arial"/>
          <w:sz w:val="20"/>
          <w:szCs w:val="20"/>
        </w:rPr>
      </w:pPr>
    </w:p>
    <w:p w:rsidR="00DF2DA4" w:rsidRPr="00DF2DA4" w:rsidRDefault="00DF2DA4" w:rsidP="00DF2DA4">
      <w:pPr>
        <w:spacing w:after="0" w:line="240" w:lineRule="auto"/>
        <w:jc w:val="both"/>
        <w:rPr>
          <w:rFonts w:ascii="Arial" w:hAnsi="Arial" w:cs="Arial"/>
          <w:sz w:val="20"/>
          <w:szCs w:val="20"/>
        </w:rPr>
      </w:pPr>
      <w:r w:rsidRPr="00DF2DA4">
        <w:rPr>
          <w:rFonts w:ascii="Arial" w:hAnsi="Arial" w:cs="Arial"/>
          <w:sz w:val="20"/>
          <w:szCs w:val="20"/>
        </w:rPr>
        <w:t>El aporte institucional fue ejecutado en el Sector Vivienda y Asentamientos Humanos y en el Sector Ambiente, Energía, Mares y Ordenamiento Territorial.</w:t>
      </w:r>
    </w:p>
    <w:p w:rsidR="00DF2DA4" w:rsidRPr="00DF2DA4" w:rsidRDefault="00DF2DA4" w:rsidP="00DF2DA4">
      <w:pPr>
        <w:spacing w:after="0" w:line="240" w:lineRule="auto"/>
        <w:jc w:val="both"/>
        <w:rPr>
          <w:rFonts w:ascii="Arial" w:hAnsi="Arial" w:cs="Arial"/>
          <w:sz w:val="20"/>
          <w:szCs w:val="20"/>
        </w:rPr>
      </w:pPr>
    </w:p>
    <w:p w:rsidR="00DF2DA4" w:rsidRPr="00DF2DA4" w:rsidRDefault="00DF2DA4" w:rsidP="00DF2DA4">
      <w:pPr>
        <w:spacing w:after="0" w:line="240" w:lineRule="auto"/>
        <w:jc w:val="both"/>
        <w:rPr>
          <w:rFonts w:ascii="Arial" w:hAnsi="Arial" w:cs="Arial"/>
          <w:b/>
          <w:sz w:val="20"/>
          <w:szCs w:val="20"/>
          <w:u w:val="single"/>
        </w:rPr>
      </w:pPr>
      <w:r w:rsidRPr="00DF2DA4">
        <w:rPr>
          <w:rFonts w:ascii="Arial" w:hAnsi="Arial" w:cs="Arial"/>
          <w:b/>
          <w:sz w:val="20"/>
          <w:szCs w:val="20"/>
          <w:u w:val="single"/>
        </w:rPr>
        <w:t>Sector Vivienda y Asentamientos Humanos</w:t>
      </w:r>
    </w:p>
    <w:p w:rsidR="00DF2DA4" w:rsidRPr="00DF2DA4" w:rsidRDefault="00DF2DA4" w:rsidP="00DF2DA4">
      <w:pPr>
        <w:spacing w:after="0" w:line="240" w:lineRule="auto"/>
        <w:jc w:val="both"/>
        <w:rPr>
          <w:rFonts w:ascii="Arial" w:hAnsi="Arial" w:cs="Arial"/>
          <w:sz w:val="20"/>
          <w:szCs w:val="20"/>
        </w:rPr>
      </w:pPr>
    </w:p>
    <w:p w:rsidR="00DF2DA4" w:rsidRPr="00DF2DA4" w:rsidRDefault="00DF2DA4" w:rsidP="00DF2DA4">
      <w:pPr>
        <w:spacing w:after="0" w:line="240" w:lineRule="auto"/>
        <w:jc w:val="both"/>
        <w:rPr>
          <w:rFonts w:ascii="Arial" w:hAnsi="Arial" w:cs="Arial"/>
          <w:sz w:val="20"/>
          <w:szCs w:val="20"/>
        </w:rPr>
      </w:pPr>
      <w:r w:rsidRPr="00DF2DA4">
        <w:rPr>
          <w:rFonts w:ascii="Arial" w:hAnsi="Arial" w:cs="Arial"/>
          <w:sz w:val="20"/>
          <w:szCs w:val="20"/>
        </w:rPr>
        <w:t>Durante el año 2017, la contribución institucional al logro de los objetivos y metas del PND 2014-2018, en los programas y proyectos donde tiene una participación activa, es la que se refiere a continuación:</w:t>
      </w:r>
    </w:p>
    <w:p w:rsidR="00DF2DA4" w:rsidRPr="00DF2DA4" w:rsidRDefault="00DF2DA4" w:rsidP="00DF2DA4">
      <w:pPr>
        <w:spacing w:after="0" w:line="240" w:lineRule="auto"/>
        <w:jc w:val="both"/>
        <w:rPr>
          <w:rFonts w:ascii="Arial" w:hAnsi="Arial" w:cs="Arial"/>
          <w:sz w:val="20"/>
          <w:szCs w:val="20"/>
        </w:rPr>
      </w:pPr>
    </w:p>
    <w:p w:rsidR="00DF2DA4" w:rsidRPr="00DF2DA4" w:rsidRDefault="00DF2DA4" w:rsidP="00DF2DA4">
      <w:pPr>
        <w:numPr>
          <w:ilvl w:val="0"/>
          <w:numId w:val="12"/>
        </w:numPr>
        <w:spacing w:after="0" w:line="240" w:lineRule="auto"/>
        <w:jc w:val="both"/>
        <w:rPr>
          <w:rFonts w:ascii="Arial" w:hAnsi="Arial" w:cs="Arial"/>
          <w:b/>
          <w:bCs/>
          <w:sz w:val="20"/>
          <w:szCs w:val="20"/>
        </w:rPr>
      </w:pPr>
      <w:r w:rsidRPr="00DF2DA4">
        <w:rPr>
          <w:rFonts w:ascii="Arial" w:hAnsi="Arial" w:cs="Arial"/>
          <w:b/>
          <w:bCs/>
          <w:sz w:val="20"/>
          <w:szCs w:val="20"/>
        </w:rPr>
        <w:t xml:space="preserve"> Programa de atención a situaciones de desalojo o declaraciones de inhabitabilidad</w:t>
      </w:r>
    </w:p>
    <w:p w:rsidR="00DF2DA4" w:rsidRPr="00DF2DA4" w:rsidRDefault="00DF2DA4" w:rsidP="00DF2DA4">
      <w:pPr>
        <w:spacing w:after="0" w:line="240" w:lineRule="auto"/>
        <w:jc w:val="both"/>
        <w:rPr>
          <w:rFonts w:ascii="Arial" w:hAnsi="Arial" w:cs="Arial"/>
          <w:sz w:val="20"/>
          <w:szCs w:val="20"/>
        </w:rPr>
      </w:pPr>
    </w:p>
    <w:p w:rsidR="00DF2DA4" w:rsidRPr="00DF2DA4" w:rsidRDefault="00DF2DA4" w:rsidP="00DF2DA4">
      <w:pPr>
        <w:spacing w:after="0" w:line="240" w:lineRule="auto"/>
        <w:jc w:val="both"/>
        <w:rPr>
          <w:rFonts w:ascii="Arial" w:hAnsi="Arial" w:cs="Arial"/>
          <w:b/>
          <w:sz w:val="20"/>
          <w:szCs w:val="20"/>
        </w:rPr>
      </w:pPr>
      <w:r w:rsidRPr="00DF2DA4">
        <w:rPr>
          <w:rFonts w:ascii="Arial" w:hAnsi="Arial" w:cs="Arial"/>
          <w:sz w:val="20"/>
          <w:szCs w:val="20"/>
        </w:rPr>
        <w:t>En este programa sectorial, cuyo objetivo es atender de forma oportuna y eficiente a la población afectada por declaraciones de desalojo o inhabitabilidad de sus viviendas, con el fin de reducir los riesgos atinentes; el INVU contribuyó con acciones en dos proyectos, a saber</w:t>
      </w:r>
      <w:r w:rsidRPr="00DF2DA4">
        <w:rPr>
          <w:rFonts w:ascii="Arial" w:hAnsi="Arial" w:cs="Arial"/>
          <w:b/>
          <w:sz w:val="20"/>
          <w:szCs w:val="20"/>
        </w:rPr>
        <w:t xml:space="preserve">: </w:t>
      </w:r>
    </w:p>
    <w:p w:rsidR="00DF2DA4" w:rsidRPr="00DF2DA4" w:rsidRDefault="00DF2DA4" w:rsidP="00DF2DA4">
      <w:pPr>
        <w:spacing w:after="0" w:line="240" w:lineRule="auto"/>
        <w:jc w:val="both"/>
        <w:rPr>
          <w:rFonts w:ascii="Arial" w:hAnsi="Arial" w:cs="Arial"/>
          <w:bCs/>
          <w:sz w:val="20"/>
          <w:szCs w:val="20"/>
        </w:rPr>
      </w:pPr>
    </w:p>
    <w:p w:rsidR="00DF2DA4" w:rsidRPr="00DF2DA4" w:rsidRDefault="00DF2DA4" w:rsidP="00DF2DA4">
      <w:pPr>
        <w:numPr>
          <w:ilvl w:val="1"/>
          <w:numId w:val="12"/>
        </w:numPr>
        <w:spacing w:after="0" w:line="240" w:lineRule="auto"/>
        <w:jc w:val="both"/>
        <w:rPr>
          <w:rFonts w:ascii="Arial" w:hAnsi="Arial" w:cs="Arial"/>
          <w:bCs/>
          <w:sz w:val="20"/>
          <w:szCs w:val="20"/>
        </w:rPr>
      </w:pPr>
      <w:r w:rsidRPr="00DF2DA4">
        <w:rPr>
          <w:rFonts w:ascii="Arial" w:hAnsi="Arial" w:cs="Arial"/>
          <w:b/>
          <w:bCs/>
          <w:sz w:val="20"/>
          <w:szCs w:val="20"/>
        </w:rPr>
        <w:t>Plan de Intervención Integral Guararí</w:t>
      </w:r>
      <w:r w:rsidRPr="00DF2DA4">
        <w:rPr>
          <w:rFonts w:ascii="Arial" w:hAnsi="Arial" w:cs="Arial"/>
          <w:bCs/>
          <w:sz w:val="20"/>
          <w:szCs w:val="20"/>
        </w:rPr>
        <w:t>, consistente en el mejoramiento integral con bono comunal para el desarrollo de obras de infraestructura y construcción de viviendas.</w:t>
      </w:r>
    </w:p>
    <w:p w:rsidR="00DF2DA4" w:rsidRPr="00DF2DA4" w:rsidRDefault="00DF2DA4" w:rsidP="00DF2DA4">
      <w:pPr>
        <w:spacing w:after="0" w:line="240" w:lineRule="auto"/>
        <w:jc w:val="both"/>
        <w:rPr>
          <w:rFonts w:ascii="Arial" w:hAnsi="Arial" w:cs="Arial"/>
          <w:bCs/>
          <w:sz w:val="20"/>
          <w:szCs w:val="20"/>
        </w:rPr>
      </w:pPr>
    </w:p>
    <w:p w:rsidR="00DF2DA4" w:rsidRPr="00DF2DA4" w:rsidRDefault="00DF2DA4" w:rsidP="00DF2DA4">
      <w:pPr>
        <w:spacing w:after="0" w:line="240" w:lineRule="auto"/>
        <w:jc w:val="both"/>
        <w:rPr>
          <w:rFonts w:ascii="Arial" w:hAnsi="Arial" w:cs="Arial"/>
          <w:bCs/>
          <w:sz w:val="20"/>
          <w:szCs w:val="20"/>
        </w:rPr>
      </w:pPr>
      <w:r w:rsidRPr="00DF2DA4">
        <w:rPr>
          <w:rFonts w:ascii="Arial" w:hAnsi="Arial" w:cs="Arial"/>
          <w:bCs/>
          <w:sz w:val="20"/>
          <w:szCs w:val="20"/>
        </w:rPr>
        <w:t>Las acciones ejecutadas y los resultados obtenidos al mes de diciembre fueron los siguientes:</w:t>
      </w:r>
    </w:p>
    <w:p w:rsidR="00DF2DA4" w:rsidRPr="00DF2DA4" w:rsidRDefault="00DF2DA4" w:rsidP="00DF2DA4">
      <w:pPr>
        <w:spacing w:after="0" w:line="240" w:lineRule="auto"/>
        <w:jc w:val="both"/>
        <w:rPr>
          <w:rFonts w:ascii="Arial" w:hAnsi="Arial" w:cs="Arial"/>
          <w:bCs/>
          <w:sz w:val="20"/>
          <w:szCs w:val="20"/>
        </w:rPr>
      </w:pPr>
    </w:p>
    <w:p w:rsidR="00DF2DA4" w:rsidRPr="00DF2DA4" w:rsidRDefault="00DF2DA4" w:rsidP="00DF2DA4">
      <w:pPr>
        <w:numPr>
          <w:ilvl w:val="0"/>
          <w:numId w:val="13"/>
        </w:numPr>
        <w:spacing w:after="0" w:line="240" w:lineRule="auto"/>
        <w:jc w:val="both"/>
        <w:rPr>
          <w:rFonts w:ascii="Arial" w:hAnsi="Arial" w:cs="Arial"/>
          <w:bCs/>
          <w:sz w:val="20"/>
          <w:szCs w:val="20"/>
        </w:rPr>
      </w:pPr>
      <w:r w:rsidRPr="00DF2DA4">
        <w:rPr>
          <w:rFonts w:ascii="Arial" w:hAnsi="Arial" w:cs="Arial"/>
          <w:bCs/>
          <w:sz w:val="20"/>
          <w:szCs w:val="20"/>
        </w:rPr>
        <w:t>Se logró concluir la etapa de preinversión en vivienda con el alcance del 50% al 31 de diciembre.</w:t>
      </w:r>
    </w:p>
    <w:p w:rsidR="00DF2DA4" w:rsidRPr="00DF2DA4" w:rsidRDefault="00DF2DA4" w:rsidP="00DF2DA4">
      <w:pPr>
        <w:spacing w:after="0" w:line="240" w:lineRule="auto"/>
        <w:jc w:val="both"/>
        <w:rPr>
          <w:rFonts w:ascii="Arial" w:hAnsi="Arial" w:cs="Arial"/>
          <w:bCs/>
          <w:sz w:val="20"/>
          <w:szCs w:val="20"/>
        </w:rPr>
      </w:pPr>
    </w:p>
    <w:p w:rsidR="00DF2DA4" w:rsidRPr="00DF2DA4" w:rsidRDefault="00DF2DA4" w:rsidP="00DF2DA4">
      <w:pPr>
        <w:numPr>
          <w:ilvl w:val="0"/>
          <w:numId w:val="13"/>
        </w:numPr>
        <w:spacing w:after="0" w:line="240" w:lineRule="auto"/>
        <w:jc w:val="both"/>
        <w:rPr>
          <w:rFonts w:ascii="Arial" w:hAnsi="Arial" w:cs="Arial"/>
          <w:bCs/>
          <w:sz w:val="20"/>
          <w:szCs w:val="20"/>
        </w:rPr>
      </w:pPr>
      <w:r w:rsidRPr="00DF2DA4">
        <w:rPr>
          <w:rFonts w:ascii="Arial" w:hAnsi="Arial" w:cs="Arial"/>
          <w:bCs/>
          <w:sz w:val="20"/>
          <w:szCs w:val="20"/>
        </w:rPr>
        <w:t xml:space="preserve">Se adjudicó a la Empresa Molina y Arce Construcción y Consultoría, para el diseño y construcción de las obras de Infraestructura del proyecto de Bono Comunal de Guararí, lo que incluye 24 parques, red de tubería pluvial y aceras. Dicha adjudicación será remitida a la Contraloría General de la Republica, para el trámite correspondiente. </w:t>
      </w:r>
    </w:p>
    <w:p w:rsidR="00DF2DA4" w:rsidRPr="00DF2DA4" w:rsidRDefault="00DF2DA4" w:rsidP="00DF2DA4">
      <w:pPr>
        <w:spacing w:after="0" w:line="240" w:lineRule="auto"/>
        <w:jc w:val="both"/>
        <w:rPr>
          <w:rFonts w:ascii="Arial" w:hAnsi="Arial" w:cs="Arial"/>
          <w:bCs/>
          <w:sz w:val="20"/>
          <w:szCs w:val="20"/>
        </w:rPr>
      </w:pPr>
    </w:p>
    <w:p w:rsidR="00DF2DA4" w:rsidRPr="00DF2DA4" w:rsidRDefault="00DF2DA4" w:rsidP="00DF2DA4">
      <w:pPr>
        <w:numPr>
          <w:ilvl w:val="0"/>
          <w:numId w:val="13"/>
        </w:numPr>
        <w:spacing w:after="0" w:line="240" w:lineRule="auto"/>
        <w:jc w:val="both"/>
        <w:rPr>
          <w:rFonts w:ascii="Arial" w:hAnsi="Arial" w:cs="Arial"/>
          <w:bCs/>
          <w:sz w:val="20"/>
          <w:szCs w:val="20"/>
        </w:rPr>
      </w:pPr>
      <w:r w:rsidRPr="00DF2DA4">
        <w:rPr>
          <w:rFonts w:ascii="Arial" w:hAnsi="Arial" w:cs="Arial"/>
          <w:bCs/>
          <w:sz w:val="20"/>
          <w:szCs w:val="20"/>
        </w:rPr>
        <w:t xml:space="preserve">Se adjudicó a la Empresa Castro y de la Torre, el estudio de suelos en el sector de las Cuencas. </w:t>
      </w:r>
    </w:p>
    <w:p w:rsidR="00DF2DA4" w:rsidRPr="00DF2DA4" w:rsidRDefault="00DF2DA4" w:rsidP="00DF2DA4">
      <w:pPr>
        <w:spacing w:after="0" w:line="240" w:lineRule="auto"/>
        <w:jc w:val="both"/>
        <w:rPr>
          <w:rFonts w:ascii="Arial" w:hAnsi="Arial" w:cs="Arial"/>
          <w:bCs/>
          <w:sz w:val="20"/>
          <w:szCs w:val="20"/>
        </w:rPr>
      </w:pPr>
    </w:p>
    <w:p w:rsidR="00DF2DA4" w:rsidRPr="00DF2DA4" w:rsidRDefault="00DF2DA4" w:rsidP="00DF2DA4">
      <w:pPr>
        <w:numPr>
          <w:ilvl w:val="0"/>
          <w:numId w:val="13"/>
        </w:numPr>
        <w:spacing w:after="0" w:line="240" w:lineRule="auto"/>
        <w:jc w:val="both"/>
        <w:rPr>
          <w:rFonts w:ascii="Arial" w:hAnsi="Arial" w:cs="Arial"/>
          <w:bCs/>
          <w:sz w:val="20"/>
          <w:szCs w:val="20"/>
        </w:rPr>
      </w:pPr>
      <w:r w:rsidRPr="00DF2DA4">
        <w:rPr>
          <w:rFonts w:ascii="Arial" w:hAnsi="Arial" w:cs="Arial"/>
          <w:bCs/>
          <w:sz w:val="20"/>
          <w:szCs w:val="20"/>
        </w:rPr>
        <w:t>Se logró elaborar el Diseño de Sitio en Condominio Vertical Residencial Lumen para 41 soluciones habitacionales. Se solicitó a la ESPH la disponibilidad de servicios y a la Municipalidad el Uso de Suelos.</w:t>
      </w:r>
    </w:p>
    <w:p w:rsidR="00DF2DA4" w:rsidRPr="00DF2DA4" w:rsidRDefault="00DF2DA4" w:rsidP="00DF2DA4">
      <w:pPr>
        <w:spacing w:after="0" w:line="240" w:lineRule="auto"/>
        <w:jc w:val="both"/>
        <w:rPr>
          <w:rFonts w:ascii="Arial" w:hAnsi="Arial" w:cs="Arial"/>
          <w:bCs/>
          <w:sz w:val="20"/>
          <w:szCs w:val="20"/>
        </w:rPr>
      </w:pPr>
    </w:p>
    <w:p w:rsidR="00DF2DA4" w:rsidRPr="00DF2DA4" w:rsidRDefault="00DF2DA4" w:rsidP="00DF2DA4">
      <w:pPr>
        <w:numPr>
          <w:ilvl w:val="0"/>
          <w:numId w:val="13"/>
        </w:numPr>
        <w:spacing w:after="0" w:line="240" w:lineRule="auto"/>
        <w:jc w:val="both"/>
        <w:rPr>
          <w:rFonts w:ascii="Arial" w:hAnsi="Arial" w:cs="Arial"/>
          <w:bCs/>
          <w:sz w:val="20"/>
          <w:szCs w:val="20"/>
        </w:rPr>
      </w:pPr>
      <w:r w:rsidRPr="00DF2DA4">
        <w:rPr>
          <w:rFonts w:ascii="Arial" w:hAnsi="Arial" w:cs="Arial"/>
          <w:bCs/>
          <w:sz w:val="20"/>
          <w:szCs w:val="20"/>
        </w:rPr>
        <w:t>Se elaboró dos estudios de suelo en dos fincas de reserva del INVU (Finca El Fortín y Villa Paola II).</w:t>
      </w:r>
    </w:p>
    <w:p w:rsidR="00DF2DA4" w:rsidRPr="00DF2DA4" w:rsidRDefault="00DF2DA4" w:rsidP="00DF2DA4">
      <w:pPr>
        <w:spacing w:after="0" w:line="240" w:lineRule="auto"/>
        <w:jc w:val="both"/>
        <w:rPr>
          <w:rFonts w:ascii="Arial" w:hAnsi="Arial" w:cs="Arial"/>
          <w:bCs/>
          <w:sz w:val="20"/>
          <w:szCs w:val="20"/>
        </w:rPr>
      </w:pPr>
    </w:p>
    <w:p w:rsidR="00DF2DA4" w:rsidRPr="00DF2DA4" w:rsidRDefault="00DF2DA4" w:rsidP="00DF2DA4">
      <w:pPr>
        <w:numPr>
          <w:ilvl w:val="0"/>
          <w:numId w:val="13"/>
        </w:numPr>
        <w:spacing w:after="0" w:line="240" w:lineRule="auto"/>
        <w:jc w:val="both"/>
        <w:rPr>
          <w:rFonts w:ascii="Arial" w:hAnsi="Arial" w:cs="Arial"/>
          <w:bCs/>
          <w:sz w:val="20"/>
          <w:szCs w:val="20"/>
        </w:rPr>
      </w:pPr>
      <w:r w:rsidRPr="00DF2DA4">
        <w:rPr>
          <w:rFonts w:ascii="Arial" w:hAnsi="Arial" w:cs="Arial"/>
          <w:bCs/>
          <w:sz w:val="20"/>
          <w:szCs w:val="20"/>
        </w:rPr>
        <w:t>Solicitud al BANHVI, de aprobación final del financiamiento, para que inicie la empresa contratada las obras.</w:t>
      </w:r>
    </w:p>
    <w:p w:rsidR="00DF2DA4" w:rsidRPr="00DF2DA4" w:rsidRDefault="00DF2DA4" w:rsidP="00DF2DA4">
      <w:pPr>
        <w:spacing w:after="0" w:line="240" w:lineRule="auto"/>
        <w:jc w:val="both"/>
        <w:rPr>
          <w:rFonts w:ascii="Arial" w:hAnsi="Arial" w:cs="Arial"/>
          <w:bCs/>
          <w:sz w:val="20"/>
          <w:szCs w:val="20"/>
        </w:rPr>
      </w:pPr>
    </w:p>
    <w:p w:rsidR="00DF2DA4" w:rsidRPr="00DF2DA4" w:rsidRDefault="00DF2DA4" w:rsidP="00DF2DA4">
      <w:pPr>
        <w:numPr>
          <w:ilvl w:val="0"/>
          <w:numId w:val="13"/>
        </w:numPr>
        <w:spacing w:after="0" w:line="240" w:lineRule="auto"/>
        <w:jc w:val="both"/>
        <w:rPr>
          <w:rFonts w:ascii="Arial" w:hAnsi="Arial" w:cs="Arial"/>
          <w:bCs/>
          <w:sz w:val="20"/>
          <w:szCs w:val="20"/>
        </w:rPr>
      </w:pPr>
      <w:r w:rsidRPr="00DF2DA4">
        <w:rPr>
          <w:rFonts w:ascii="Arial" w:hAnsi="Arial" w:cs="Arial"/>
          <w:bCs/>
          <w:sz w:val="20"/>
          <w:szCs w:val="20"/>
        </w:rPr>
        <w:t>Se elaboró el anteproyecto de vivienda, de una de las áreas, donde se encuentran aproximadamente 30 familias.</w:t>
      </w:r>
    </w:p>
    <w:p w:rsidR="00DF2DA4" w:rsidRPr="00DF2DA4" w:rsidRDefault="00DF2DA4" w:rsidP="00DF2DA4">
      <w:pPr>
        <w:spacing w:after="0" w:line="240" w:lineRule="auto"/>
        <w:jc w:val="both"/>
        <w:rPr>
          <w:rFonts w:ascii="Arial" w:hAnsi="Arial" w:cs="Arial"/>
          <w:bCs/>
          <w:sz w:val="20"/>
          <w:szCs w:val="20"/>
        </w:rPr>
      </w:pPr>
    </w:p>
    <w:p w:rsidR="00DF2DA4" w:rsidRPr="00DF2DA4" w:rsidRDefault="00DF2DA4" w:rsidP="00DF2DA4">
      <w:pPr>
        <w:numPr>
          <w:ilvl w:val="0"/>
          <w:numId w:val="13"/>
        </w:numPr>
        <w:spacing w:after="0" w:line="240" w:lineRule="auto"/>
        <w:jc w:val="both"/>
        <w:rPr>
          <w:rFonts w:ascii="Arial" w:hAnsi="Arial" w:cs="Arial"/>
          <w:bCs/>
          <w:sz w:val="20"/>
          <w:szCs w:val="20"/>
        </w:rPr>
      </w:pPr>
      <w:r w:rsidRPr="00DF2DA4">
        <w:rPr>
          <w:rFonts w:ascii="Arial" w:hAnsi="Arial" w:cs="Arial"/>
          <w:bCs/>
          <w:sz w:val="20"/>
          <w:szCs w:val="20"/>
        </w:rPr>
        <w:lastRenderedPageBreak/>
        <w:t>Elaboración de un censo aproximadamente a 1.000 familias, con el objetivo de caracterizar la población en condición de precario, ocupantes de áreas públicas.</w:t>
      </w:r>
    </w:p>
    <w:p w:rsidR="00DF2DA4" w:rsidRPr="00DF2DA4" w:rsidRDefault="00DF2DA4" w:rsidP="00DF2DA4">
      <w:pPr>
        <w:spacing w:after="0" w:line="240" w:lineRule="auto"/>
        <w:jc w:val="both"/>
        <w:rPr>
          <w:rFonts w:ascii="Arial" w:hAnsi="Arial" w:cs="Arial"/>
          <w:bCs/>
          <w:sz w:val="20"/>
          <w:szCs w:val="20"/>
        </w:rPr>
      </w:pPr>
    </w:p>
    <w:p w:rsidR="00DF2DA4" w:rsidRPr="00DF2DA4" w:rsidRDefault="00DF2DA4" w:rsidP="00DF2DA4">
      <w:pPr>
        <w:numPr>
          <w:ilvl w:val="1"/>
          <w:numId w:val="12"/>
        </w:numPr>
        <w:spacing w:after="0" w:line="240" w:lineRule="auto"/>
        <w:jc w:val="both"/>
        <w:rPr>
          <w:rFonts w:ascii="Arial" w:hAnsi="Arial" w:cs="Arial"/>
          <w:b/>
          <w:bCs/>
          <w:sz w:val="20"/>
          <w:szCs w:val="20"/>
        </w:rPr>
      </w:pPr>
      <w:r w:rsidRPr="00DF2DA4">
        <w:rPr>
          <w:rFonts w:ascii="Arial" w:hAnsi="Arial" w:cs="Arial"/>
          <w:b/>
          <w:bCs/>
          <w:sz w:val="20"/>
          <w:szCs w:val="20"/>
        </w:rPr>
        <w:t>Plan de Intervención Integral El Erizo, que comprende la compra de una finca para reubicar el Asentamiento El Erizo, además de la construcción de las viviendas.</w:t>
      </w:r>
    </w:p>
    <w:p w:rsidR="00DF2DA4" w:rsidRPr="00DF2DA4" w:rsidRDefault="00DF2DA4" w:rsidP="00DF2DA4">
      <w:pPr>
        <w:spacing w:after="0" w:line="240" w:lineRule="auto"/>
        <w:jc w:val="both"/>
        <w:rPr>
          <w:rFonts w:ascii="Arial" w:hAnsi="Arial" w:cs="Arial"/>
          <w:bCs/>
          <w:sz w:val="20"/>
          <w:szCs w:val="20"/>
        </w:rPr>
      </w:pPr>
    </w:p>
    <w:p w:rsidR="00DF2DA4" w:rsidRPr="00DF2DA4" w:rsidRDefault="00DF2DA4" w:rsidP="00DF2DA4">
      <w:pPr>
        <w:spacing w:after="0" w:line="240" w:lineRule="auto"/>
        <w:jc w:val="both"/>
        <w:rPr>
          <w:rFonts w:ascii="Arial" w:hAnsi="Arial" w:cs="Arial"/>
          <w:sz w:val="20"/>
          <w:szCs w:val="20"/>
        </w:rPr>
      </w:pPr>
      <w:r w:rsidRPr="00DF2DA4">
        <w:rPr>
          <w:rFonts w:ascii="Arial" w:hAnsi="Arial" w:cs="Arial"/>
          <w:sz w:val="20"/>
          <w:szCs w:val="20"/>
        </w:rPr>
        <w:t>Las acciones incluyen:</w:t>
      </w:r>
    </w:p>
    <w:p w:rsidR="00DF2DA4" w:rsidRPr="00DF2DA4" w:rsidRDefault="00DF2DA4" w:rsidP="00DF2DA4">
      <w:pPr>
        <w:spacing w:after="0" w:line="240" w:lineRule="auto"/>
        <w:jc w:val="both"/>
        <w:rPr>
          <w:rFonts w:ascii="Arial" w:hAnsi="Arial" w:cs="Arial"/>
          <w:sz w:val="20"/>
          <w:szCs w:val="20"/>
        </w:rPr>
      </w:pPr>
    </w:p>
    <w:p w:rsidR="00DF2DA4" w:rsidRPr="00DF2DA4" w:rsidRDefault="00DF2DA4" w:rsidP="00DF2DA4">
      <w:pPr>
        <w:numPr>
          <w:ilvl w:val="0"/>
          <w:numId w:val="14"/>
        </w:numPr>
        <w:spacing w:after="0" w:line="240" w:lineRule="auto"/>
        <w:jc w:val="both"/>
        <w:rPr>
          <w:rFonts w:ascii="Arial" w:hAnsi="Arial" w:cs="Arial"/>
          <w:sz w:val="20"/>
          <w:szCs w:val="20"/>
        </w:rPr>
      </w:pPr>
      <w:r w:rsidRPr="00DF2DA4">
        <w:rPr>
          <w:rFonts w:ascii="Arial" w:hAnsi="Arial" w:cs="Arial"/>
          <w:sz w:val="20"/>
          <w:szCs w:val="20"/>
        </w:rPr>
        <w:t>Recopilación de información de fincas para la evaluación técnica. Se investigó posibles ubicaciones de fincas que cuenten con suficiente recurso hídrico que permita emplazar el proyecto, en coordinación con Acueductos y Alcantarillados.</w:t>
      </w:r>
    </w:p>
    <w:p w:rsidR="00DF2DA4" w:rsidRPr="00DF2DA4" w:rsidRDefault="00DF2DA4" w:rsidP="00DF2DA4">
      <w:pPr>
        <w:spacing w:after="0" w:line="240" w:lineRule="auto"/>
        <w:jc w:val="both"/>
        <w:rPr>
          <w:rFonts w:ascii="Arial" w:hAnsi="Arial" w:cs="Arial"/>
          <w:bCs/>
          <w:sz w:val="20"/>
          <w:szCs w:val="20"/>
        </w:rPr>
      </w:pPr>
    </w:p>
    <w:p w:rsidR="00DF2DA4" w:rsidRPr="00DF2DA4" w:rsidRDefault="00DF2DA4" w:rsidP="00DF2DA4">
      <w:pPr>
        <w:numPr>
          <w:ilvl w:val="0"/>
          <w:numId w:val="14"/>
        </w:numPr>
        <w:spacing w:after="0" w:line="240" w:lineRule="auto"/>
        <w:jc w:val="both"/>
        <w:rPr>
          <w:rFonts w:ascii="Arial" w:hAnsi="Arial" w:cs="Arial"/>
          <w:sz w:val="20"/>
          <w:szCs w:val="20"/>
        </w:rPr>
      </w:pPr>
      <w:r w:rsidRPr="00DF2DA4">
        <w:rPr>
          <w:rFonts w:ascii="Arial" w:hAnsi="Arial" w:cs="Arial"/>
          <w:bCs/>
          <w:sz w:val="20"/>
          <w:szCs w:val="20"/>
        </w:rPr>
        <w:t xml:space="preserve">Se procura </w:t>
      </w:r>
      <w:r w:rsidRPr="00DF2DA4">
        <w:rPr>
          <w:rFonts w:ascii="Arial" w:hAnsi="Arial" w:cs="Arial"/>
          <w:sz w:val="20"/>
          <w:szCs w:val="20"/>
        </w:rPr>
        <w:t>la implementación de una modalidad basada en el Artículo 139 de la Ley de Contratación Administrativa, para la compra del terreno, dado que los anteriores procesos licitatorios ejecutados, han resultado infructuosos.</w:t>
      </w:r>
    </w:p>
    <w:p w:rsidR="00DF2DA4" w:rsidRPr="00DF2DA4" w:rsidRDefault="00DF2DA4" w:rsidP="00DF2DA4">
      <w:pPr>
        <w:spacing w:after="0" w:line="240" w:lineRule="auto"/>
        <w:jc w:val="both"/>
        <w:rPr>
          <w:rFonts w:ascii="Arial" w:hAnsi="Arial" w:cs="Arial"/>
          <w:bCs/>
          <w:sz w:val="20"/>
          <w:szCs w:val="20"/>
        </w:rPr>
      </w:pPr>
    </w:p>
    <w:p w:rsidR="00DF2DA4" w:rsidRPr="00DF2DA4" w:rsidRDefault="00DF2DA4" w:rsidP="00DF2DA4">
      <w:pPr>
        <w:numPr>
          <w:ilvl w:val="0"/>
          <w:numId w:val="14"/>
        </w:numPr>
        <w:spacing w:after="0" w:line="240" w:lineRule="auto"/>
        <w:jc w:val="both"/>
        <w:rPr>
          <w:rFonts w:ascii="Arial" w:hAnsi="Arial" w:cs="Arial"/>
          <w:bCs/>
          <w:sz w:val="20"/>
          <w:szCs w:val="20"/>
        </w:rPr>
      </w:pPr>
      <w:r w:rsidRPr="00DF2DA4">
        <w:rPr>
          <w:rFonts w:ascii="Arial" w:hAnsi="Arial" w:cs="Arial"/>
          <w:bCs/>
          <w:sz w:val="20"/>
          <w:szCs w:val="20"/>
        </w:rPr>
        <w:t>Se valoró el desarrollo de proyectos más pequeños en razón de la no disponibilidad de fincas grandes en los alrededores del Asentamiento El Erizo, ubicado en la provincia de Alajuela.</w:t>
      </w:r>
    </w:p>
    <w:p w:rsidR="00DF2DA4" w:rsidRPr="00DF2DA4" w:rsidRDefault="00DF2DA4" w:rsidP="00DF2DA4">
      <w:pPr>
        <w:spacing w:after="0" w:line="240" w:lineRule="auto"/>
        <w:jc w:val="both"/>
        <w:rPr>
          <w:rFonts w:ascii="Arial" w:hAnsi="Arial" w:cs="Arial"/>
          <w:bCs/>
          <w:sz w:val="20"/>
          <w:szCs w:val="20"/>
        </w:rPr>
      </w:pPr>
    </w:p>
    <w:p w:rsidR="00DF2DA4" w:rsidRPr="00DF2DA4" w:rsidRDefault="00DF2DA4" w:rsidP="00DF2DA4">
      <w:pPr>
        <w:spacing w:after="0" w:line="240" w:lineRule="auto"/>
        <w:jc w:val="both"/>
        <w:rPr>
          <w:rFonts w:ascii="Arial" w:hAnsi="Arial" w:cs="Arial"/>
          <w:sz w:val="20"/>
          <w:szCs w:val="20"/>
        </w:rPr>
      </w:pPr>
      <w:r w:rsidRPr="00DF2DA4">
        <w:rPr>
          <w:rFonts w:ascii="Arial" w:hAnsi="Arial" w:cs="Arial"/>
          <w:bCs/>
          <w:sz w:val="20"/>
          <w:szCs w:val="20"/>
        </w:rPr>
        <w:t>Cabe destacar que l</w:t>
      </w:r>
      <w:r w:rsidRPr="00DF2DA4">
        <w:rPr>
          <w:rFonts w:ascii="Arial" w:hAnsi="Arial" w:cs="Arial"/>
          <w:sz w:val="20"/>
          <w:szCs w:val="20"/>
        </w:rPr>
        <w:t xml:space="preserve">a etapa de preinversión y la gestión solicitud de financiamiento no mostró avance en el 2017, porque aún está en proceso la compra de la finca y ésta debe tener condiciones aptas para el desarrollo del proyecto. </w:t>
      </w:r>
    </w:p>
    <w:p w:rsidR="00DF2DA4" w:rsidRPr="00DF2DA4" w:rsidRDefault="00DF2DA4" w:rsidP="00DF2DA4">
      <w:pPr>
        <w:spacing w:after="0" w:line="240" w:lineRule="auto"/>
        <w:jc w:val="both"/>
        <w:rPr>
          <w:rFonts w:ascii="Arial" w:hAnsi="Arial" w:cs="Arial"/>
          <w:sz w:val="20"/>
          <w:szCs w:val="20"/>
        </w:rPr>
      </w:pPr>
    </w:p>
    <w:p w:rsidR="00DF2DA4" w:rsidRPr="00DF2DA4" w:rsidRDefault="00DF2DA4" w:rsidP="00DF2DA4">
      <w:pPr>
        <w:spacing w:after="0" w:line="240" w:lineRule="auto"/>
        <w:jc w:val="both"/>
        <w:rPr>
          <w:rFonts w:ascii="Arial" w:hAnsi="Arial" w:cs="Arial"/>
          <w:bCs/>
          <w:sz w:val="20"/>
          <w:szCs w:val="20"/>
        </w:rPr>
      </w:pPr>
      <w:r w:rsidRPr="00DF2DA4">
        <w:rPr>
          <w:rFonts w:ascii="Arial" w:hAnsi="Arial" w:cs="Arial"/>
          <w:sz w:val="20"/>
          <w:szCs w:val="20"/>
        </w:rPr>
        <w:t>L</w:t>
      </w:r>
      <w:r w:rsidRPr="00DF2DA4">
        <w:rPr>
          <w:rFonts w:ascii="Arial" w:hAnsi="Arial" w:cs="Arial"/>
          <w:bCs/>
          <w:sz w:val="20"/>
          <w:szCs w:val="20"/>
        </w:rPr>
        <w:t>os procesos de compra de una finca para la reubicación del precario, llevados a cabo en años anteriores, han sido declarados desiertos, lo que ha incidido negativamente en el alcance del objetivo del proyecto.</w:t>
      </w:r>
    </w:p>
    <w:p w:rsidR="00DF2DA4" w:rsidRPr="00DF2DA4" w:rsidRDefault="00DF2DA4" w:rsidP="00DF2DA4">
      <w:pPr>
        <w:spacing w:after="0" w:line="240" w:lineRule="auto"/>
        <w:jc w:val="both"/>
        <w:rPr>
          <w:rFonts w:ascii="Arial" w:hAnsi="Arial" w:cs="Arial"/>
          <w:bCs/>
          <w:sz w:val="20"/>
          <w:szCs w:val="20"/>
        </w:rPr>
      </w:pPr>
    </w:p>
    <w:p w:rsidR="00DF2DA4" w:rsidRPr="00DF2DA4" w:rsidRDefault="00DF2DA4" w:rsidP="00DF2DA4">
      <w:pPr>
        <w:spacing w:after="0" w:line="240" w:lineRule="auto"/>
        <w:jc w:val="both"/>
        <w:rPr>
          <w:rFonts w:ascii="Arial" w:hAnsi="Arial" w:cs="Arial"/>
          <w:bCs/>
          <w:sz w:val="20"/>
          <w:szCs w:val="20"/>
        </w:rPr>
      </w:pPr>
    </w:p>
    <w:p w:rsidR="00DF2DA4" w:rsidRPr="00DF2DA4" w:rsidRDefault="00DF2DA4" w:rsidP="00DF2DA4">
      <w:pPr>
        <w:numPr>
          <w:ilvl w:val="0"/>
          <w:numId w:val="12"/>
        </w:numPr>
        <w:spacing w:after="0" w:line="240" w:lineRule="auto"/>
        <w:jc w:val="both"/>
        <w:rPr>
          <w:rFonts w:ascii="Arial" w:hAnsi="Arial" w:cs="Arial"/>
          <w:b/>
          <w:bCs/>
          <w:sz w:val="20"/>
          <w:szCs w:val="20"/>
        </w:rPr>
      </w:pPr>
      <w:r w:rsidRPr="00DF2DA4">
        <w:rPr>
          <w:rFonts w:ascii="Arial" w:hAnsi="Arial" w:cs="Arial"/>
          <w:b/>
          <w:bCs/>
          <w:sz w:val="20"/>
          <w:szCs w:val="20"/>
        </w:rPr>
        <w:t>Programa de diversificación de oferta de soluciones habitacionales para grupos desatendidos, en pobreza y clase media, en los principales asentamientos del país</w:t>
      </w:r>
    </w:p>
    <w:p w:rsidR="00DF2DA4" w:rsidRPr="00DF2DA4" w:rsidRDefault="00DF2DA4" w:rsidP="00DF2DA4">
      <w:pPr>
        <w:spacing w:after="0" w:line="240" w:lineRule="auto"/>
        <w:jc w:val="both"/>
        <w:rPr>
          <w:rFonts w:ascii="Arial" w:hAnsi="Arial" w:cs="Arial"/>
          <w:b/>
          <w:bCs/>
          <w:sz w:val="20"/>
          <w:szCs w:val="20"/>
        </w:rPr>
      </w:pPr>
    </w:p>
    <w:p w:rsidR="00DF2DA4" w:rsidRPr="00DF2DA4" w:rsidRDefault="00DF2DA4" w:rsidP="00DF2DA4">
      <w:pPr>
        <w:spacing w:after="0" w:line="240" w:lineRule="auto"/>
        <w:jc w:val="both"/>
        <w:rPr>
          <w:rFonts w:ascii="Arial" w:hAnsi="Arial" w:cs="Arial"/>
          <w:bCs/>
          <w:sz w:val="20"/>
          <w:szCs w:val="20"/>
        </w:rPr>
      </w:pPr>
      <w:r w:rsidRPr="00DF2DA4">
        <w:rPr>
          <w:rFonts w:ascii="Arial" w:hAnsi="Arial" w:cs="Arial"/>
          <w:bCs/>
          <w:sz w:val="20"/>
          <w:szCs w:val="20"/>
        </w:rPr>
        <w:t>El objetivo sectorial con este programa, es promover soluciones habitacionales para grupos desatendidos en pobreza y clase media. La contribución del INVU a este programa es con el desarrollo del Proyecto Blëlé, el cual es un sistema de condominio privado, donde se combina el uso residencial y el uso comercial con diseños de acceso universal de conformidad con lo dispuesto por la Ley 7600 y con el Plan Regulador de Curridabat.</w:t>
      </w:r>
    </w:p>
    <w:p w:rsidR="00DF2DA4" w:rsidRPr="00DF2DA4" w:rsidRDefault="00DF2DA4" w:rsidP="00DF2DA4">
      <w:pPr>
        <w:spacing w:after="0" w:line="240" w:lineRule="auto"/>
        <w:jc w:val="both"/>
        <w:rPr>
          <w:rFonts w:ascii="Arial" w:hAnsi="Arial" w:cs="Arial"/>
          <w:bCs/>
          <w:sz w:val="20"/>
          <w:szCs w:val="20"/>
        </w:rPr>
      </w:pPr>
    </w:p>
    <w:p w:rsidR="00DF2DA4" w:rsidRPr="00DF2DA4" w:rsidRDefault="00DF2DA4" w:rsidP="00DF2DA4">
      <w:pPr>
        <w:spacing w:after="0" w:line="240" w:lineRule="auto"/>
        <w:jc w:val="both"/>
        <w:rPr>
          <w:rFonts w:ascii="Arial" w:hAnsi="Arial" w:cs="Arial"/>
          <w:bCs/>
          <w:sz w:val="20"/>
          <w:szCs w:val="20"/>
        </w:rPr>
      </w:pPr>
      <w:r w:rsidRPr="00DF2DA4">
        <w:rPr>
          <w:rFonts w:ascii="Arial" w:hAnsi="Arial" w:cs="Arial"/>
          <w:bCs/>
          <w:sz w:val="20"/>
          <w:szCs w:val="20"/>
        </w:rPr>
        <w:t>Inicialmente se estimó una meta de construcción de 82 apartamentos, pero según estudios de preinversión más avanzados, se estimó que el proyecto generará 150 apartamentos en condominio, cuya construcción se financiará con recursos provenientes del Fondo de Inversión de un Banco Estatal, que en este caso corresponde al Banco Popular, por un monto total estimado de ¢8.000 millones para todo el proyecto.</w:t>
      </w:r>
    </w:p>
    <w:p w:rsidR="00DF2DA4" w:rsidRPr="00DF2DA4" w:rsidRDefault="00DF2DA4" w:rsidP="00DF2DA4">
      <w:pPr>
        <w:spacing w:after="0" w:line="240" w:lineRule="auto"/>
        <w:jc w:val="both"/>
        <w:rPr>
          <w:rFonts w:ascii="Arial" w:hAnsi="Arial" w:cs="Arial"/>
          <w:bCs/>
          <w:sz w:val="20"/>
          <w:szCs w:val="20"/>
        </w:rPr>
      </w:pPr>
    </w:p>
    <w:p w:rsidR="00DF2DA4" w:rsidRPr="00DF2DA4" w:rsidRDefault="00DF2DA4" w:rsidP="00DF2DA4">
      <w:pPr>
        <w:spacing w:after="0" w:line="240" w:lineRule="auto"/>
        <w:jc w:val="both"/>
        <w:rPr>
          <w:rFonts w:ascii="Arial" w:hAnsi="Arial" w:cs="Arial"/>
          <w:bCs/>
          <w:sz w:val="20"/>
          <w:szCs w:val="20"/>
        </w:rPr>
      </w:pPr>
      <w:r w:rsidRPr="00DF2DA4">
        <w:rPr>
          <w:rFonts w:ascii="Arial" w:hAnsi="Arial" w:cs="Arial"/>
          <w:bCs/>
          <w:sz w:val="20"/>
          <w:szCs w:val="20"/>
        </w:rPr>
        <w:t>Las acciones realizadas y los efectos o beneficios a diciembre del año 2017 fueron:</w:t>
      </w:r>
    </w:p>
    <w:p w:rsidR="00DF2DA4" w:rsidRPr="00DF2DA4" w:rsidRDefault="00DF2DA4" w:rsidP="00DF2DA4">
      <w:pPr>
        <w:spacing w:after="0" w:line="240" w:lineRule="auto"/>
        <w:jc w:val="both"/>
        <w:rPr>
          <w:rFonts w:ascii="Arial" w:hAnsi="Arial" w:cs="Arial"/>
          <w:bCs/>
          <w:sz w:val="20"/>
          <w:szCs w:val="20"/>
        </w:rPr>
      </w:pPr>
    </w:p>
    <w:p w:rsidR="00DF2DA4" w:rsidRPr="00DF2DA4" w:rsidRDefault="00DF2DA4" w:rsidP="00DF2DA4">
      <w:pPr>
        <w:numPr>
          <w:ilvl w:val="0"/>
          <w:numId w:val="11"/>
        </w:numPr>
        <w:spacing w:after="0" w:line="240" w:lineRule="auto"/>
        <w:ind w:left="426" w:hanging="426"/>
        <w:jc w:val="both"/>
        <w:rPr>
          <w:rFonts w:ascii="Arial" w:hAnsi="Arial" w:cs="Arial"/>
          <w:bCs/>
          <w:sz w:val="20"/>
          <w:szCs w:val="20"/>
        </w:rPr>
      </w:pPr>
      <w:r w:rsidRPr="00DF2DA4">
        <w:rPr>
          <w:rFonts w:ascii="Arial" w:hAnsi="Arial" w:cs="Arial"/>
          <w:bCs/>
          <w:sz w:val="20"/>
          <w:szCs w:val="20"/>
        </w:rPr>
        <w:t xml:space="preserve"> Análisis del mecanismo de financiamiento, para hacerlo más operativo, ya que incluye un Fondo de Inversión y una Institución Autónoma, aspecto que hizo  lento el proceso de gestión del financiamiento, e involucró a Fondo de Inversión del Banco Popular, Banco Popular, Contraloría General de la República, SUGEVAL, INVU.</w:t>
      </w:r>
    </w:p>
    <w:p w:rsidR="00DF2DA4" w:rsidRPr="00DF2DA4" w:rsidRDefault="00DF2DA4" w:rsidP="00DF2DA4">
      <w:pPr>
        <w:spacing w:after="0" w:line="240" w:lineRule="auto"/>
        <w:ind w:left="-142"/>
        <w:jc w:val="both"/>
        <w:rPr>
          <w:rFonts w:ascii="Arial" w:hAnsi="Arial" w:cs="Arial"/>
          <w:bCs/>
          <w:sz w:val="20"/>
          <w:szCs w:val="20"/>
        </w:rPr>
      </w:pPr>
    </w:p>
    <w:p w:rsidR="00DF2DA4" w:rsidRPr="00DF2DA4" w:rsidRDefault="00DF2DA4" w:rsidP="00DF2DA4">
      <w:pPr>
        <w:numPr>
          <w:ilvl w:val="0"/>
          <w:numId w:val="11"/>
        </w:numPr>
        <w:shd w:val="clear" w:color="auto" w:fill="FFFFFF"/>
        <w:spacing w:after="0" w:line="240" w:lineRule="auto"/>
        <w:ind w:left="426" w:hanging="437"/>
        <w:jc w:val="both"/>
        <w:rPr>
          <w:rFonts w:ascii="Arial" w:hAnsi="Arial" w:cs="Arial"/>
          <w:bCs/>
          <w:sz w:val="20"/>
          <w:szCs w:val="20"/>
        </w:rPr>
      </w:pPr>
      <w:r w:rsidRPr="00DF2DA4">
        <w:rPr>
          <w:rFonts w:ascii="Arial" w:hAnsi="Arial" w:cs="Arial"/>
          <w:bCs/>
          <w:iCs/>
          <w:sz w:val="20"/>
          <w:szCs w:val="20"/>
        </w:rPr>
        <w:lastRenderedPageBreak/>
        <w:t xml:space="preserve"> Con oficio No.07463 de fecha 30 de junio del 2017, la Contraloría General de la República, mediante su Dirección de Contratación Administrativa autorizó a INVU, para que proceda a la venta directa del inmueble al Fondo de Inversión administrado por la Sociedad Administradora de Fondos de Inversión del Banco Popular.</w:t>
      </w:r>
    </w:p>
    <w:p w:rsidR="00DF2DA4" w:rsidRPr="00DF2DA4" w:rsidRDefault="00DF2DA4" w:rsidP="00DF2DA4">
      <w:pPr>
        <w:spacing w:after="0" w:line="240" w:lineRule="auto"/>
        <w:ind w:left="426"/>
        <w:jc w:val="both"/>
        <w:rPr>
          <w:rFonts w:ascii="Arial" w:hAnsi="Arial" w:cs="Arial"/>
          <w:bCs/>
          <w:sz w:val="20"/>
          <w:szCs w:val="20"/>
        </w:rPr>
      </w:pPr>
    </w:p>
    <w:p w:rsidR="00DF2DA4" w:rsidRPr="00DF2DA4" w:rsidRDefault="00DF2DA4" w:rsidP="00DF2DA4">
      <w:pPr>
        <w:numPr>
          <w:ilvl w:val="0"/>
          <w:numId w:val="11"/>
        </w:numPr>
        <w:shd w:val="clear" w:color="auto" w:fill="FFFFFF"/>
        <w:spacing w:after="0" w:line="240" w:lineRule="auto"/>
        <w:ind w:left="426" w:hanging="426"/>
        <w:jc w:val="both"/>
        <w:rPr>
          <w:rFonts w:ascii="Arial" w:hAnsi="Arial" w:cs="Arial"/>
          <w:bCs/>
          <w:iCs/>
          <w:sz w:val="20"/>
          <w:szCs w:val="20"/>
        </w:rPr>
      </w:pPr>
      <w:r w:rsidRPr="00DF2DA4">
        <w:rPr>
          <w:rFonts w:ascii="Arial" w:hAnsi="Arial" w:cs="Arial"/>
          <w:bCs/>
          <w:sz w:val="20"/>
          <w:szCs w:val="20"/>
        </w:rPr>
        <w:t xml:space="preserve"> Trámites de aprobación y autorizaciones institucionales.  </w:t>
      </w:r>
      <w:r w:rsidRPr="00DF2DA4">
        <w:rPr>
          <w:rFonts w:ascii="Arial" w:hAnsi="Arial" w:cs="Arial"/>
          <w:bCs/>
          <w:iCs/>
          <w:sz w:val="20"/>
          <w:szCs w:val="20"/>
        </w:rPr>
        <w:t xml:space="preserve">En el 2017 se concluyó y logró la aprobación de la viabilidad ambiental en el SETENA. Por otra parte, la Sociedad Administradora del Fondo de Inversión (SAFI) del Banco Popular, cuenta con el visto bueno de la SUGEVAL para ejecutar el proyecto y se encuentra en la etapa de </w:t>
      </w:r>
      <w:r w:rsidRPr="00DF2DA4">
        <w:rPr>
          <w:rFonts w:ascii="Arial" w:hAnsi="Arial" w:cs="Arial"/>
          <w:bCs/>
          <w:sz w:val="20"/>
          <w:szCs w:val="20"/>
        </w:rPr>
        <w:t xml:space="preserve">las </w:t>
      </w:r>
      <w:r w:rsidRPr="00DF2DA4">
        <w:rPr>
          <w:rFonts w:ascii="Arial" w:hAnsi="Arial" w:cs="Arial"/>
          <w:bCs/>
          <w:iCs/>
          <w:sz w:val="20"/>
          <w:szCs w:val="20"/>
        </w:rPr>
        <w:t>gestiones pertinentes para levantar recursos de inversionistas interesados en desarrollar el proyecto.</w:t>
      </w:r>
    </w:p>
    <w:p w:rsidR="00DF2DA4" w:rsidRPr="00DF2DA4" w:rsidRDefault="00DF2DA4" w:rsidP="00DF2DA4">
      <w:pPr>
        <w:pStyle w:val="Prrafodelista"/>
        <w:spacing w:after="0" w:line="240" w:lineRule="auto"/>
        <w:jc w:val="both"/>
        <w:rPr>
          <w:rFonts w:ascii="Arial" w:hAnsi="Arial" w:cs="Arial"/>
          <w:bCs/>
          <w:iCs/>
          <w:sz w:val="20"/>
          <w:szCs w:val="20"/>
        </w:rPr>
      </w:pPr>
    </w:p>
    <w:p w:rsidR="00DF2DA4" w:rsidRPr="00DF2DA4" w:rsidRDefault="00DF2DA4" w:rsidP="00DF2DA4">
      <w:pPr>
        <w:spacing w:after="0" w:line="240" w:lineRule="auto"/>
        <w:jc w:val="both"/>
        <w:rPr>
          <w:rFonts w:ascii="Arial" w:hAnsi="Arial" w:cs="Arial"/>
          <w:b/>
          <w:sz w:val="20"/>
          <w:szCs w:val="20"/>
        </w:rPr>
      </w:pPr>
    </w:p>
    <w:p w:rsidR="00DF2DA4" w:rsidRPr="00DF2DA4" w:rsidRDefault="00DF2DA4" w:rsidP="00DF2DA4">
      <w:pPr>
        <w:numPr>
          <w:ilvl w:val="0"/>
          <w:numId w:val="12"/>
        </w:numPr>
        <w:spacing w:after="0" w:line="240" w:lineRule="auto"/>
        <w:jc w:val="both"/>
        <w:rPr>
          <w:rFonts w:ascii="Arial" w:hAnsi="Arial" w:cs="Arial"/>
          <w:b/>
          <w:sz w:val="20"/>
          <w:szCs w:val="20"/>
        </w:rPr>
      </w:pPr>
      <w:r w:rsidRPr="00DF2DA4">
        <w:rPr>
          <w:rFonts w:ascii="Arial" w:hAnsi="Arial" w:cs="Arial"/>
          <w:b/>
          <w:bCs/>
          <w:sz w:val="20"/>
          <w:szCs w:val="20"/>
        </w:rPr>
        <w:t xml:space="preserve"> Conjuntos habitacionales recuperados en barrios deteriorados</w:t>
      </w:r>
    </w:p>
    <w:p w:rsidR="00DF2DA4" w:rsidRPr="00DF2DA4" w:rsidRDefault="00DF2DA4" w:rsidP="00DF2DA4">
      <w:pPr>
        <w:spacing w:after="0" w:line="240" w:lineRule="auto"/>
        <w:jc w:val="both"/>
        <w:rPr>
          <w:rFonts w:ascii="Arial" w:hAnsi="Arial" w:cs="Arial"/>
          <w:b/>
          <w:sz w:val="20"/>
          <w:szCs w:val="20"/>
        </w:rPr>
      </w:pPr>
    </w:p>
    <w:p w:rsidR="00DF2DA4" w:rsidRPr="00DF2DA4" w:rsidRDefault="00DF2DA4" w:rsidP="00DF2DA4">
      <w:pPr>
        <w:spacing w:after="0" w:line="240" w:lineRule="auto"/>
        <w:jc w:val="both"/>
        <w:rPr>
          <w:rFonts w:ascii="Arial" w:hAnsi="Arial" w:cs="Arial"/>
          <w:sz w:val="20"/>
          <w:szCs w:val="20"/>
        </w:rPr>
      </w:pPr>
      <w:r w:rsidRPr="00DF2DA4">
        <w:rPr>
          <w:rFonts w:ascii="Arial" w:hAnsi="Arial" w:cs="Arial"/>
          <w:sz w:val="20"/>
          <w:szCs w:val="20"/>
        </w:rPr>
        <w:t>El objetivo sectorial de este programa, es renovar el acervo habitacional de los barrios deteriorados. Para contribuir con este objetivo el INVU otorgará bonos para reparaciones, ampliaciones, mejoras y terminación de viviendas (RAMT) en el Proyecto Juan Rafael Mora.</w:t>
      </w:r>
    </w:p>
    <w:p w:rsidR="00DF2DA4" w:rsidRPr="00DF2DA4" w:rsidRDefault="00DF2DA4" w:rsidP="00DF2DA4">
      <w:pPr>
        <w:spacing w:after="0" w:line="240" w:lineRule="auto"/>
        <w:jc w:val="both"/>
        <w:rPr>
          <w:rFonts w:ascii="Arial" w:hAnsi="Arial" w:cs="Arial"/>
          <w:sz w:val="20"/>
          <w:szCs w:val="20"/>
        </w:rPr>
      </w:pPr>
    </w:p>
    <w:p w:rsidR="00DF2DA4" w:rsidRPr="00DF2DA4" w:rsidRDefault="00DF2DA4" w:rsidP="00DF2DA4">
      <w:pPr>
        <w:spacing w:after="0" w:line="240" w:lineRule="auto"/>
        <w:jc w:val="both"/>
        <w:rPr>
          <w:rFonts w:ascii="Arial" w:hAnsi="Arial" w:cs="Arial"/>
          <w:sz w:val="20"/>
          <w:szCs w:val="20"/>
        </w:rPr>
      </w:pPr>
      <w:r w:rsidRPr="00DF2DA4">
        <w:rPr>
          <w:rFonts w:ascii="Arial" w:hAnsi="Arial" w:cs="Arial"/>
          <w:sz w:val="20"/>
          <w:szCs w:val="20"/>
        </w:rPr>
        <w:t>El INVU analizó y aprobó 41 expedientes con solicitud de bono RAMT, e incluso se logró la aprobación de 16 casos y 7 están en proceso de revisión por parte del BANHVI, no se logró un avance en la ejecución de los desembolsos porque están pendientes varias actividades previas.</w:t>
      </w:r>
    </w:p>
    <w:p w:rsidR="00DF2DA4" w:rsidRPr="00DF2DA4" w:rsidRDefault="00DF2DA4" w:rsidP="00DF2DA4">
      <w:pPr>
        <w:spacing w:after="0" w:line="240" w:lineRule="auto"/>
        <w:jc w:val="both"/>
        <w:rPr>
          <w:rFonts w:ascii="Arial" w:hAnsi="Arial" w:cs="Arial"/>
          <w:sz w:val="20"/>
          <w:szCs w:val="20"/>
        </w:rPr>
      </w:pPr>
    </w:p>
    <w:p w:rsidR="00DF2DA4" w:rsidRPr="00DF2DA4" w:rsidRDefault="00DF2DA4" w:rsidP="00DF2DA4">
      <w:pPr>
        <w:spacing w:after="0" w:line="240" w:lineRule="auto"/>
        <w:jc w:val="both"/>
        <w:rPr>
          <w:rFonts w:ascii="Arial" w:hAnsi="Arial" w:cs="Arial"/>
          <w:sz w:val="20"/>
          <w:szCs w:val="20"/>
        </w:rPr>
      </w:pPr>
      <w:r w:rsidRPr="00DF2DA4">
        <w:rPr>
          <w:rFonts w:ascii="Arial" w:hAnsi="Arial" w:cs="Arial"/>
          <w:sz w:val="20"/>
          <w:szCs w:val="20"/>
        </w:rPr>
        <w:t>Cabe destacar entre esas actividades, el proceso por parte del BANHVI de revisión y ampliación de la línea de financiamiento originalmente aprobada para el Proyecto.</w:t>
      </w:r>
    </w:p>
    <w:p w:rsidR="00DF2DA4" w:rsidRPr="00DF2DA4" w:rsidRDefault="00DF2DA4" w:rsidP="00DF2DA4">
      <w:pPr>
        <w:spacing w:after="0" w:line="240" w:lineRule="auto"/>
        <w:jc w:val="both"/>
        <w:rPr>
          <w:rFonts w:ascii="Arial" w:hAnsi="Arial" w:cs="Arial"/>
          <w:sz w:val="20"/>
          <w:szCs w:val="20"/>
        </w:rPr>
      </w:pPr>
    </w:p>
    <w:p w:rsidR="00DF2DA4" w:rsidRPr="00DF2DA4" w:rsidRDefault="00DF2DA4" w:rsidP="00DF2DA4">
      <w:pPr>
        <w:spacing w:after="0" w:line="240" w:lineRule="auto"/>
        <w:jc w:val="both"/>
        <w:rPr>
          <w:rFonts w:ascii="Arial" w:hAnsi="Arial" w:cs="Arial"/>
          <w:sz w:val="20"/>
          <w:szCs w:val="20"/>
        </w:rPr>
      </w:pPr>
      <w:r w:rsidRPr="00DF2DA4">
        <w:rPr>
          <w:rFonts w:ascii="Arial" w:hAnsi="Arial" w:cs="Arial"/>
          <w:sz w:val="20"/>
          <w:szCs w:val="20"/>
        </w:rPr>
        <w:t>Adicionalmente, hay 62 casos para trámite de bono RAMT que están en proceso de estudio de Trabajo Social y de revisión de planos y presupuestos.</w:t>
      </w:r>
    </w:p>
    <w:p w:rsidR="00DF2DA4" w:rsidRPr="00DF2DA4" w:rsidRDefault="00DF2DA4" w:rsidP="00DF2DA4">
      <w:pPr>
        <w:spacing w:after="0" w:line="240" w:lineRule="auto"/>
        <w:jc w:val="both"/>
        <w:rPr>
          <w:rFonts w:ascii="Arial" w:hAnsi="Arial" w:cs="Arial"/>
          <w:sz w:val="20"/>
          <w:szCs w:val="20"/>
        </w:rPr>
      </w:pPr>
    </w:p>
    <w:p w:rsidR="00DF2DA4" w:rsidRPr="00DF2DA4" w:rsidRDefault="00DF2DA4" w:rsidP="00DF2DA4">
      <w:pPr>
        <w:spacing w:after="0" w:line="240" w:lineRule="auto"/>
        <w:jc w:val="both"/>
        <w:rPr>
          <w:rFonts w:ascii="Arial" w:hAnsi="Arial" w:cs="Arial"/>
          <w:sz w:val="20"/>
          <w:szCs w:val="20"/>
        </w:rPr>
      </w:pPr>
      <w:r w:rsidRPr="00DF2DA4">
        <w:rPr>
          <w:rFonts w:ascii="Arial" w:hAnsi="Arial" w:cs="Arial"/>
          <w:sz w:val="20"/>
          <w:szCs w:val="20"/>
        </w:rPr>
        <w:t xml:space="preserve">El proceso de avance ha sido lento, debido a limitaciones impuestas por las condiciones en que fueron construidas las estructuras habitacionales existentes, sin contar en su momento de construcción, con todas las aprobaciones institucionales, lo que impide la autorización de nuevas obras, además de que se debe contar con la anuencia de algunas familias para desocupar el inmueble o para demoler algunas obras construidas por ellas a través del tiempo. </w:t>
      </w:r>
    </w:p>
    <w:p w:rsidR="00DF2DA4" w:rsidRPr="00DF2DA4" w:rsidRDefault="00DF2DA4" w:rsidP="00DF2DA4">
      <w:pPr>
        <w:spacing w:after="0" w:line="240" w:lineRule="auto"/>
        <w:jc w:val="both"/>
        <w:rPr>
          <w:rFonts w:ascii="Arial" w:hAnsi="Arial" w:cs="Arial"/>
          <w:sz w:val="20"/>
          <w:szCs w:val="20"/>
        </w:rPr>
      </w:pPr>
    </w:p>
    <w:p w:rsidR="00DF2DA4" w:rsidRPr="00DF2DA4" w:rsidRDefault="00DF2DA4" w:rsidP="00DF2DA4">
      <w:pPr>
        <w:spacing w:after="0" w:line="240" w:lineRule="auto"/>
        <w:jc w:val="both"/>
        <w:rPr>
          <w:rFonts w:ascii="Arial" w:hAnsi="Arial" w:cs="Arial"/>
          <w:sz w:val="20"/>
          <w:szCs w:val="20"/>
        </w:rPr>
      </w:pPr>
      <w:r w:rsidRPr="00DF2DA4">
        <w:rPr>
          <w:rFonts w:ascii="Arial" w:hAnsi="Arial" w:cs="Arial"/>
          <w:sz w:val="20"/>
          <w:szCs w:val="20"/>
        </w:rPr>
        <w:t>Además, previo a la aprobación del bono y a la ejecución de desembolsos, se requirió del aporte de documentación técnica por parte de la empresa constructora para conformar el expediente.</w:t>
      </w:r>
    </w:p>
    <w:p w:rsidR="00DF2DA4" w:rsidRPr="00DF2DA4" w:rsidRDefault="00DF2DA4" w:rsidP="00DF2DA4">
      <w:pPr>
        <w:spacing w:after="0" w:line="240" w:lineRule="auto"/>
        <w:jc w:val="both"/>
        <w:rPr>
          <w:rFonts w:ascii="Arial" w:hAnsi="Arial" w:cs="Arial"/>
          <w:sz w:val="20"/>
          <w:szCs w:val="20"/>
        </w:rPr>
      </w:pPr>
    </w:p>
    <w:p w:rsidR="00DF2DA4" w:rsidRPr="00DF2DA4" w:rsidRDefault="00DF2DA4" w:rsidP="00DF2DA4">
      <w:pPr>
        <w:spacing w:after="0" w:line="240" w:lineRule="auto"/>
        <w:jc w:val="both"/>
        <w:rPr>
          <w:rFonts w:ascii="Arial" w:hAnsi="Arial" w:cs="Arial"/>
          <w:sz w:val="20"/>
          <w:szCs w:val="20"/>
        </w:rPr>
      </w:pPr>
    </w:p>
    <w:p w:rsidR="00DF2DA4" w:rsidRPr="00DF2DA4" w:rsidRDefault="00DF2DA4" w:rsidP="00DF2DA4">
      <w:pPr>
        <w:numPr>
          <w:ilvl w:val="0"/>
          <w:numId w:val="12"/>
        </w:numPr>
        <w:spacing w:after="0" w:line="240" w:lineRule="auto"/>
        <w:jc w:val="both"/>
        <w:rPr>
          <w:rFonts w:ascii="Arial" w:hAnsi="Arial" w:cs="Arial"/>
          <w:b/>
          <w:bCs/>
          <w:sz w:val="20"/>
          <w:szCs w:val="20"/>
        </w:rPr>
      </w:pPr>
      <w:r w:rsidRPr="00DF2DA4">
        <w:rPr>
          <w:rFonts w:ascii="Arial" w:hAnsi="Arial" w:cs="Arial"/>
          <w:b/>
          <w:bCs/>
          <w:sz w:val="20"/>
          <w:szCs w:val="20"/>
        </w:rPr>
        <w:t xml:space="preserve"> Programa de desarrollos habitacionales modelo</w:t>
      </w:r>
    </w:p>
    <w:p w:rsidR="00DF2DA4" w:rsidRPr="00DF2DA4" w:rsidRDefault="00DF2DA4" w:rsidP="00DF2DA4">
      <w:pPr>
        <w:spacing w:after="0" w:line="240" w:lineRule="auto"/>
        <w:jc w:val="both"/>
        <w:rPr>
          <w:rFonts w:ascii="Arial" w:hAnsi="Arial" w:cs="Arial"/>
          <w:b/>
          <w:bCs/>
          <w:sz w:val="20"/>
          <w:szCs w:val="20"/>
        </w:rPr>
      </w:pPr>
    </w:p>
    <w:p w:rsidR="00DF2DA4" w:rsidRPr="00DF2DA4" w:rsidRDefault="00DF2DA4" w:rsidP="00DF2DA4">
      <w:pPr>
        <w:spacing w:after="0" w:line="240" w:lineRule="auto"/>
        <w:jc w:val="both"/>
        <w:rPr>
          <w:rFonts w:ascii="Arial" w:hAnsi="Arial" w:cs="Arial"/>
          <w:bCs/>
          <w:sz w:val="20"/>
          <w:szCs w:val="20"/>
        </w:rPr>
      </w:pPr>
      <w:r w:rsidRPr="00DF2DA4">
        <w:rPr>
          <w:rFonts w:ascii="Arial" w:hAnsi="Arial" w:cs="Arial"/>
          <w:bCs/>
          <w:sz w:val="20"/>
          <w:szCs w:val="20"/>
        </w:rPr>
        <w:t>El objetivo sectorial de este programa es ejecutar desarrollos habitacionales modelo con integración entre la política de vivienda, la de ordenamiento territorial y normativa local.</w:t>
      </w:r>
    </w:p>
    <w:p w:rsidR="00DF2DA4" w:rsidRPr="00DF2DA4" w:rsidRDefault="00DF2DA4" w:rsidP="00DF2DA4">
      <w:pPr>
        <w:spacing w:after="0" w:line="240" w:lineRule="auto"/>
        <w:jc w:val="both"/>
        <w:rPr>
          <w:rFonts w:ascii="Arial" w:hAnsi="Arial" w:cs="Arial"/>
          <w:bCs/>
          <w:sz w:val="20"/>
          <w:szCs w:val="20"/>
        </w:rPr>
      </w:pPr>
    </w:p>
    <w:p w:rsidR="00DF2DA4" w:rsidRPr="00DF2DA4" w:rsidRDefault="00DF2DA4" w:rsidP="00DF2DA4">
      <w:pPr>
        <w:spacing w:after="0" w:line="240" w:lineRule="auto"/>
        <w:jc w:val="both"/>
        <w:rPr>
          <w:rFonts w:ascii="Arial" w:hAnsi="Arial" w:cs="Arial"/>
          <w:bCs/>
          <w:sz w:val="20"/>
          <w:szCs w:val="20"/>
        </w:rPr>
      </w:pPr>
      <w:r w:rsidRPr="00DF2DA4">
        <w:rPr>
          <w:rFonts w:ascii="Arial" w:hAnsi="Arial" w:cs="Arial"/>
          <w:bCs/>
          <w:sz w:val="20"/>
          <w:szCs w:val="20"/>
        </w:rPr>
        <w:t>El INVU contribuye con el desarrollo del Proyecto Blëlé (2017) y Duarco-Cocorí (2018).</w:t>
      </w:r>
    </w:p>
    <w:p w:rsidR="00DF2DA4" w:rsidRPr="00DF2DA4" w:rsidRDefault="00DF2DA4" w:rsidP="00DF2DA4">
      <w:pPr>
        <w:spacing w:after="0" w:line="240" w:lineRule="auto"/>
        <w:jc w:val="both"/>
        <w:rPr>
          <w:rFonts w:ascii="Arial" w:hAnsi="Arial" w:cs="Arial"/>
          <w:bCs/>
          <w:sz w:val="20"/>
          <w:szCs w:val="20"/>
        </w:rPr>
      </w:pPr>
    </w:p>
    <w:p w:rsidR="00DF2DA4" w:rsidRPr="00DF2DA4" w:rsidRDefault="00DF2DA4" w:rsidP="00DF2DA4">
      <w:pPr>
        <w:spacing w:after="0" w:line="240" w:lineRule="auto"/>
        <w:jc w:val="both"/>
        <w:rPr>
          <w:rFonts w:ascii="Arial" w:hAnsi="Arial" w:cs="Arial"/>
          <w:bCs/>
          <w:sz w:val="20"/>
          <w:szCs w:val="20"/>
        </w:rPr>
      </w:pPr>
      <w:r w:rsidRPr="00DF2DA4">
        <w:rPr>
          <w:rFonts w:ascii="Arial" w:hAnsi="Arial" w:cs="Arial"/>
          <w:bCs/>
          <w:sz w:val="20"/>
          <w:szCs w:val="20"/>
        </w:rPr>
        <w:t xml:space="preserve">Tanto el Proyecto Duarco-Cocorí Etapa I como el Proyecto Blële, se consideran modelos innovadores que contribuyen al Plan Nacional de Desarrollo, porque constituyen edificaciones verticales que integran áreas verdes, áreas recreativas dentro de un concepto de comunidad.  </w:t>
      </w:r>
    </w:p>
    <w:p w:rsidR="00DF2DA4" w:rsidRPr="00DF2DA4" w:rsidRDefault="00DF2DA4" w:rsidP="00DF2DA4">
      <w:pPr>
        <w:spacing w:after="0" w:line="240" w:lineRule="auto"/>
        <w:jc w:val="both"/>
        <w:rPr>
          <w:rFonts w:ascii="Arial" w:hAnsi="Arial" w:cs="Arial"/>
          <w:bCs/>
          <w:sz w:val="20"/>
          <w:szCs w:val="20"/>
        </w:rPr>
      </w:pPr>
    </w:p>
    <w:p w:rsidR="00DF2DA4" w:rsidRPr="00DF2DA4" w:rsidRDefault="00DF2DA4" w:rsidP="00DF2DA4">
      <w:pPr>
        <w:spacing w:after="0" w:line="240" w:lineRule="auto"/>
        <w:jc w:val="both"/>
        <w:rPr>
          <w:rFonts w:ascii="Arial" w:hAnsi="Arial" w:cs="Arial"/>
          <w:bCs/>
          <w:sz w:val="20"/>
          <w:szCs w:val="20"/>
        </w:rPr>
      </w:pPr>
      <w:r w:rsidRPr="00DF2DA4">
        <w:rPr>
          <w:rFonts w:ascii="Arial" w:hAnsi="Arial" w:cs="Arial"/>
          <w:bCs/>
          <w:sz w:val="20"/>
          <w:szCs w:val="20"/>
        </w:rPr>
        <w:lastRenderedPageBreak/>
        <w:t>El Proyecto Blëlé es un sistema de condominio privado, donde se combina el uso residencial y el uso comercial con diseños de acceso universal de conformidad con lo dispuesto por la Ley 7600 y con el nuevo Plan Regulador de Curridabat.</w:t>
      </w:r>
    </w:p>
    <w:p w:rsidR="00DF2DA4" w:rsidRPr="00DF2DA4" w:rsidRDefault="00DF2DA4" w:rsidP="00DF2DA4">
      <w:pPr>
        <w:spacing w:after="0" w:line="240" w:lineRule="auto"/>
        <w:jc w:val="both"/>
        <w:rPr>
          <w:rFonts w:ascii="Arial" w:hAnsi="Arial" w:cs="Arial"/>
          <w:bCs/>
          <w:sz w:val="20"/>
          <w:szCs w:val="20"/>
        </w:rPr>
      </w:pPr>
    </w:p>
    <w:p w:rsidR="00DF2DA4" w:rsidRPr="00DF2DA4" w:rsidRDefault="00DF2DA4" w:rsidP="00DF2DA4">
      <w:pPr>
        <w:spacing w:after="0" w:line="240" w:lineRule="auto"/>
        <w:jc w:val="both"/>
        <w:rPr>
          <w:rFonts w:ascii="Arial" w:hAnsi="Arial" w:cs="Arial"/>
          <w:bCs/>
          <w:sz w:val="20"/>
          <w:szCs w:val="20"/>
        </w:rPr>
      </w:pPr>
      <w:r w:rsidRPr="00DF2DA4">
        <w:rPr>
          <w:rFonts w:ascii="Arial" w:hAnsi="Arial" w:cs="Arial"/>
          <w:bCs/>
          <w:sz w:val="20"/>
          <w:szCs w:val="20"/>
        </w:rPr>
        <w:t>No obstante, los trámites previos a la ejecución de las obras, estuvieron sujetos a factores externos al INVU como son las aprobaciones de permisos, suministro de servicios públicos, búsqueda de financiamiento, resoluciones o disposiciones de diferentes instituciones, cumplimiento de requisitos entre otros factores.</w:t>
      </w:r>
    </w:p>
    <w:p w:rsidR="00DF2DA4" w:rsidRPr="00DF2DA4" w:rsidRDefault="00DF2DA4" w:rsidP="00DF2DA4">
      <w:pPr>
        <w:spacing w:after="0" w:line="240" w:lineRule="auto"/>
        <w:jc w:val="both"/>
        <w:rPr>
          <w:rFonts w:ascii="Arial" w:hAnsi="Arial" w:cs="Arial"/>
          <w:bCs/>
          <w:sz w:val="20"/>
          <w:szCs w:val="20"/>
        </w:rPr>
      </w:pPr>
    </w:p>
    <w:p w:rsidR="00DF2DA4" w:rsidRPr="00DF2DA4" w:rsidRDefault="00DF2DA4" w:rsidP="00DF2DA4">
      <w:pPr>
        <w:spacing w:after="0" w:line="240" w:lineRule="auto"/>
        <w:jc w:val="both"/>
        <w:rPr>
          <w:rFonts w:ascii="Arial" w:eastAsia="Times New Roman" w:hAnsi="Arial" w:cs="Arial"/>
          <w:bCs/>
          <w:sz w:val="20"/>
          <w:szCs w:val="20"/>
          <w:lang w:eastAsia="es-ES"/>
        </w:rPr>
      </w:pPr>
      <w:r w:rsidRPr="00DF2DA4">
        <w:rPr>
          <w:rFonts w:ascii="Arial" w:eastAsia="Times New Roman" w:hAnsi="Arial" w:cs="Arial"/>
          <w:bCs/>
          <w:sz w:val="20"/>
          <w:szCs w:val="20"/>
          <w:lang w:eastAsia="es-ES"/>
        </w:rPr>
        <w:t>Como ya se mencionó anteriormente, lo realizado en el Proyecto Blëlé fueron acciones previas a la ejecución de obras, que iniciarán en el año 2018.</w:t>
      </w:r>
    </w:p>
    <w:p w:rsidR="00DF2DA4" w:rsidRPr="00DF2DA4" w:rsidRDefault="00DF2DA4" w:rsidP="00DF2DA4">
      <w:pPr>
        <w:spacing w:after="0" w:line="240" w:lineRule="auto"/>
        <w:jc w:val="both"/>
        <w:rPr>
          <w:rFonts w:ascii="Arial" w:eastAsia="Times New Roman" w:hAnsi="Arial" w:cs="Arial"/>
          <w:bCs/>
          <w:sz w:val="20"/>
          <w:szCs w:val="20"/>
          <w:lang w:eastAsia="es-ES"/>
        </w:rPr>
      </w:pPr>
    </w:p>
    <w:p w:rsidR="00DF2DA4" w:rsidRPr="00DF2DA4" w:rsidRDefault="00DF2DA4" w:rsidP="00DF2DA4">
      <w:pPr>
        <w:spacing w:after="0" w:line="240" w:lineRule="auto"/>
        <w:jc w:val="both"/>
        <w:rPr>
          <w:rFonts w:ascii="Arial" w:eastAsia="Times New Roman" w:hAnsi="Arial" w:cs="Arial"/>
          <w:bCs/>
          <w:sz w:val="20"/>
          <w:szCs w:val="20"/>
          <w:lang w:eastAsia="es-ES"/>
        </w:rPr>
      </w:pPr>
      <w:r w:rsidRPr="00DF2DA4">
        <w:rPr>
          <w:rFonts w:ascii="Arial" w:eastAsia="Times New Roman" w:hAnsi="Arial" w:cs="Arial"/>
          <w:bCs/>
          <w:sz w:val="20"/>
          <w:szCs w:val="20"/>
          <w:lang w:eastAsia="es-ES"/>
        </w:rPr>
        <w:t>No obstante que el Proyecto Duarco-Cocorí fue programado para el 2018, durante el 2017 se realizaron las siguientes acciones:</w:t>
      </w:r>
    </w:p>
    <w:p w:rsidR="00DF2DA4" w:rsidRPr="00DF2DA4" w:rsidRDefault="00DF2DA4" w:rsidP="00DF2DA4">
      <w:pPr>
        <w:spacing w:after="0" w:line="240" w:lineRule="auto"/>
        <w:jc w:val="both"/>
        <w:rPr>
          <w:rFonts w:ascii="Arial" w:eastAsia="Times New Roman" w:hAnsi="Arial" w:cs="Arial"/>
          <w:bCs/>
          <w:sz w:val="20"/>
          <w:szCs w:val="20"/>
          <w:lang w:eastAsia="es-ES"/>
        </w:rPr>
      </w:pPr>
    </w:p>
    <w:p w:rsidR="00DF2DA4" w:rsidRPr="00DF2DA4" w:rsidRDefault="00DF2DA4" w:rsidP="00DF2DA4">
      <w:pPr>
        <w:spacing w:after="0" w:line="240" w:lineRule="auto"/>
        <w:jc w:val="both"/>
        <w:rPr>
          <w:rFonts w:ascii="Arial" w:eastAsia="Times New Roman" w:hAnsi="Arial" w:cs="Arial"/>
          <w:bCs/>
          <w:sz w:val="20"/>
          <w:szCs w:val="20"/>
          <w:lang w:eastAsia="es-ES"/>
        </w:rPr>
      </w:pPr>
      <w:r w:rsidRPr="00DF2DA4">
        <w:rPr>
          <w:rFonts w:ascii="Arial" w:eastAsia="Times New Roman" w:hAnsi="Arial" w:cs="Arial"/>
          <w:bCs/>
          <w:sz w:val="20"/>
          <w:szCs w:val="20"/>
          <w:lang w:eastAsia="es-ES"/>
        </w:rPr>
        <w:t>Talleres participativos con las municipalidades de Cartago y El Guarco, así como con las Escuelas La Asunción y Cocorí para el levantamiento de las necesidades de las comunidades.</w:t>
      </w:r>
    </w:p>
    <w:p w:rsidR="00DF2DA4" w:rsidRPr="00DF2DA4" w:rsidRDefault="00DF2DA4" w:rsidP="00DF2DA4">
      <w:pPr>
        <w:spacing w:after="0" w:line="240" w:lineRule="auto"/>
        <w:jc w:val="both"/>
        <w:rPr>
          <w:rFonts w:ascii="Arial" w:eastAsia="Times New Roman" w:hAnsi="Arial" w:cs="Arial"/>
          <w:bCs/>
          <w:sz w:val="20"/>
          <w:szCs w:val="20"/>
          <w:lang w:eastAsia="es-ES"/>
        </w:rPr>
      </w:pPr>
      <w:r w:rsidRPr="00DF2DA4">
        <w:rPr>
          <w:rFonts w:ascii="Arial" w:eastAsia="Times New Roman" w:hAnsi="Arial" w:cs="Arial"/>
          <w:bCs/>
          <w:sz w:val="20"/>
          <w:szCs w:val="20"/>
          <w:lang w:eastAsia="es-ES"/>
        </w:rPr>
        <w:t>Se elaboró el diseño de sitio para la inversión de los recursos del bono comunal</w:t>
      </w:r>
    </w:p>
    <w:p w:rsidR="00DF2DA4" w:rsidRPr="00DF2DA4" w:rsidRDefault="00DF2DA4" w:rsidP="00DF2DA4">
      <w:pPr>
        <w:spacing w:after="0" w:line="240" w:lineRule="auto"/>
        <w:jc w:val="both"/>
        <w:rPr>
          <w:rFonts w:ascii="Arial" w:eastAsia="Times New Roman" w:hAnsi="Arial" w:cs="Arial"/>
          <w:bCs/>
          <w:sz w:val="20"/>
          <w:szCs w:val="20"/>
          <w:lang w:eastAsia="es-ES"/>
        </w:rPr>
      </w:pPr>
      <w:r w:rsidRPr="00DF2DA4">
        <w:rPr>
          <w:rFonts w:ascii="Arial" w:eastAsia="Times New Roman" w:hAnsi="Arial" w:cs="Arial"/>
          <w:bCs/>
          <w:sz w:val="20"/>
          <w:szCs w:val="20"/>
          <w:lang w:eastAsia="es-ES"/>
        </w:rPr>
        <w:t>Se elaboró y se generaron modificaciones al anteproyecto del bono comunal del Sector Este.</w:t>
      </w:r>
    </w:p>
    <w:p w:rsidR="00DF2DA4" w:rsidRPr="00DF2DA4" w:rsidRDefault="00DF2DA4" w:rsidP="00DF2DA4">
      <w:pPr>
        <w:spacing w:after="0" w:line="240" w:lineRule="auto"/>
        <w:jc w:val="both"/>
        <w:rPr>
          <w:rFonts w:ascii="Arial" w:eastAsia="Times New Roman" w:hAnsi="Arial" w:cs="Arial"/>
          <w:bCs/>
          <w:sz w:val="20"/>
          <w:szCs w:val="20"/>
          <w:lang w:eastAsia="es-ES"/>
        </w:rPr>
      </w:pPr>
    </w:p>
    <w:p w:rsidR="00DF2DA4" w:rsidRPr="00DF2DA4" w:rsidRDefault="00DF2DA4" w:rsidP="00DF2DA4">
      <w:pPr>
        <w:spacing w:after="0" w:line="240" w:lineRule="auto"/>
        <w:jc w:val="both"/>
        <w:rPr>
          <w:rFonts w:ascii="Arial" w:eastAsia="Times New Roman" w:hAnsi="Arial" w:cs="Arial"/>
          <w:bCs/>
          <w:sz w:val="20"/>
          <w:szCs w:val="20"/>
          <w:lang w:eastAsia="es-ES"/>
        </w:rPr>
      </w:pPr>
      <w:r w:rsidRPr="00DF2DA4">
        <w:rPr>
          <w:rFonts w:ascii="Arial" w:eastAsia="Times New Roman" w:hAnsi="Arial" w:cs="Arial"/>
          <w:bCs/>
          <w:sz w:val="20"/>
          <w:szCs w:val="20"/>
          <w:lang w:eastAsia="es-ES"/>
        </w:rPr>
        <w:t>Se considera un avance de la etapa de preinversión del 15%. El proyecto en su primera etapa generará 228 soluciones.</w:t>
      </w:r>
    </w:p>
    <w:p w:rsidR="00DF2DA4" w:rsidRPr="00DF2DA4" w:rsidRDefault="00DF2DA4" w:rsidP="00DF2DA4">
      <w:pPr>
        <w:spacing w:after="0" w:line="240" w:lineRule="auto"/>
        <w:jc w:val="both"/>
        <w:rPr>
          <w:rFonts w:ascii="Arial" w:eastAsia="Times New Roman" w:hAnsi="Arial" w:cs="Arial"/>
          <w:bCs/>
          <w:sz w:val="20"/>
          <w:szCs w:val="20"/>
          <w:lang w:eastAsia="es-ES"/>
        </w:rPr>
      </w:pPr>
    </w:p>
    <w:p w:rsidR="00DF2DA4" w:rsidRPr="00DF2DA4" w:rsidRDefault="00DF2DA4" w:rsidP="00DF2DA4">
      <w:pPr>
        <w:spacing w:after="0" w:line="240" w:lineRule="auto"/>
        <w:jc w:val="both"/>
        <w:rPr>
          <w:rFonts w:ascii="Arial" w:eastAsia="Times New Roman" w:hAnsi="Arial" w:cs="Arial"/>
          <w:bCs/>
          <w:sz w:val="20"/>
          <w:szCs w:val="20"/>
          <w:lang w:eastAsia="es-ES"/>
        </w:rPr>
      </w:pPr>
    </w:p>
    <w:p w:rsidR="00DF2DA4" w:rsidRPr="00AD209C" w:rsidRDefault="00DF2DA4" w:rsidP="00DF2DA4">
      <w:pPr>
        <w:spacing w:after="0" w:line="240" w:lineRule="auto"/>
        <w:jc w:val="both"/>
        <w:rPr>
          <w:rFonts w:ascii="Arial" w:eastAsia="Times New Roman" w:hAnsi="Arial" w:cs="Arial"/>
          <w:b/>
          <w:bCs/>
          <w:sz w:val="20"/>
          <w:szCs w:val="20"/>
          <w:u w:val="single"/>
          <w:lang w:eastAsia="es-ES"/>
        </w:rPr>
      </w:pPr>
      <w:r w:rsidRPr="00AD209C">
        <w:rPr>
          <w:rFonts w:ascii="Arial" w:eastAsia="Times New Roman" w:hAnsi="Arial" w:cs="Arial"/>
          <w:b/>
          <w:bCs/>
          <w:sz w:val="20"/>
          <w:szCs w:val="20"/>
          <w:u w:val="single"/>
          <w:lang w:eastAsia="es-ES"/>
        </w:rPr>
        <w:t>Sector Ambiente, Energía, Mares y Ordenamiento Territorial</w:t>
      </w:r>
    </w:p>
    <w:p w:rsidR="00DF2DA4" w:rsidRPr="00AD209C" w:rsidRDefault="00DF2DA4" w:rsidP="00DF2DA4">
      <w:pPr>
        <w:spacing w:after="0" w:line="240" w:lineRule="auto"/>
        <w:jc w:val="both"/>
        <w:rPr>
          <w:rFonts w:ascii="Arial" w:eastAsia="Times New Roman" w:hAnsi="Arial" w:cs="Arial"/>
          <w:b/>
          <w:bCs/>
          <w:sz w:val="20"/>
          <w:szCs w:val="20"/>
          <w:u w:val="single"/>
          <w:lang w:eastAsia="es-ES"/>
        </w:rPr>
      </w:pPr>
    </w:p>
    <w:p w:rsidR="00DF2DA4" w:rsidRPr="00DF2DA4" w:rsidRDefault="00DF2DA4" w:rsidP="00DF2DA4">
      <w:pPr>
        <w:spacing w:after="0" w:line="240" w:lineRule="auto"/>
        <w:jc w:val="both"/>
        <w:rPr>
          <w:rFonts w:ascii="Arial" w:eastAsia="Times New Roman" w:hAnsi="Arial" w:cs="Arial"/>
          <w:bCs/>
          <w:sz w:val="20"/>
          <w:szCs w:val="20"/>
          <w:lang w:eastAsia="es-ES"/>
        </w:rPr>
      </w:pPr>
      <w:r w:rsidRPr="00DF2DA4">
        <w:rPr>
          <w:rFonts w:ascii="Arial" w:eastAsia="Times New Roman" w:hAnsi="Arial" w:cs="Arial"/>
          <w:bCs/>
          <w:sz w:val="20"/>
          <w:szCs w:val="20"/>
          <w:lang w:eastAsia="es-ES"/>
        </w:rPr>
        <w:t>La participación del INVU con la que contribuye al Plan Nacional de Desarrollo en este sector, es realizada de dos formas, como actor directo en la revisión y concordancia de planes reguladores y como coordinador de las acciones ejecutadas por las municipalidades para el mejoramiento de la Cuenca del Río María Aguilar.</w:t>
      </w:r>
    </w:p>
    <w:p w:rsidR="00DF2DA4" w:rsidRPr="00DF2DA4" w:rsidRDefault="00DF2DA4" w:rsidP="00DF2DA4">
      <w:pPr>
        <w:spacing w:after="0" w:line="240" w:lineRule="auto"/>
        <w:jc w:val="both"/>
        <w:rPr>
          <w:rFonts w:ascii="Arial" w:eastAsia="Times New Roman" w:hAnsi="Arial" w:cs="Arial"/>
          <w:bCs/>
          <w:sz w:val="20"/>
          <w:szCs w:val="20"/>
          <w:lang w:eastAsia="es-ES"/>
        </w:rPr>
      </w:pPr>
    </w:p>
    <w:p w:rsidR="00DF2DA4" w:rsidRPr="00DF2DA4" w:rsidRDefault="00DF2DA4" w:rsidP="00DF2DA4">
      <w:pPr>
        <w:spacing w:after="0" w:line="240" w:lineRule="auto"/>
        <w:jc w:val="both"/>
        <w:rPr>
          <w:rFonts w:ascii="Arial" w:eastAsia="Times New Roman" w:hAnsi="Arial" w:cs="Arial"/>
          <w:bCs/>
          <w:sz w:val="20"/>
          <w:szCs w:val="20"/>
          <w:lang w:eastAsia="es-ES"/>
        </w:rPr>
      </w:pPr>
      <w:r w:rsidRPr="00DF2DA4">
        <w:rPr>
          <w:rFonts w:ascii="Arial" w:eastAsia="Times New Roman" w:hAnsi="Arial" w:cs="Arial"/>
          <w:bCs/>
          <w:sz w:val="20"/>
          <w:szCs w:val="20"/>
          <w:lang w:eastAsia="es-ES"/>
        </w:rPr>
        <w:t>Esa participación se da en tres programas a saber:</w:t>
      </w:r>
    </w:p>
    <w:p w:rsidR="00DF2DA4" w:rsidRPr="00DF2DA4" w:rsidRDefault="00DF2DA4" w:rsidP="00DF2DA4">
      <w:pPr>
        <w:spacing w:after="0" w:line="240" w:lineRule="auto"/>
        <w:jc w:val="both"/>
        <w:rPr>
          <w:rFonts w:ascii="Arial" w:eastAsia="Times New Roman" w:hAnsi="Arial" w:cs="Arial"/>
          <w:bCs/>
          <w:sz w:val="20"/>
          <w:szCs w:val="20"/>
          <w:lang w:eastAsia="es-ES"/>
        </w:rPr>
      </w:pPr>
    </w:p>
    <w:p w:rsidR="00DF2DA4" w:rsidRPr="00AD209C" w:rsidRDefault="00DF2DA4" w:rsidP="00AD209C">
      <w:pPr>
        <w:pStyle w:val="Prrafodelista"/>
        <w:numPr>
          <w:ilvl w:val="0"/>
          <w:numId w:val="18"/>
        </w:numPr>
        <w:spacing w:after="0" w:line="240" w:lineRule="auto"/>
        <w:jc w:val="both"/>
        <w:rPr>
          <w:rFonts w:ascii="Arial" w:eastAsia="Times New Roman" w:hAnsi="Arial" w:cs="Arial"/>
          <w:b/>
          <w:sz w:val="20"/>
          <w:szCs w:val="20"/>
          <w:lang w:eastAsia="es-ES"/>
        </w:rPr>
      </w:pPr>
      <w:r w:rsidRPr="00AD209C">
        <w:rPr>
          <w:rFonts w:ascii="Arial" w:eastAsia="Times New Roman" w:hAnsi="Arial" w:cs="Arial"/>
          <w:b/>
          <w:sz w:val="20"/>
          <w:szCs w:val="20"/>
          <w:lang w:eastAsia="es-ES"/>
        </w:rPr>
        <w:t>Programa de articulación de planes reguladores locales con el Plan regional de la GAM</w:t>
      </w:r>
    </w:p>
    <w:p w:rsidR="00DF2DA4" w:rsidRPr="00DF2DA4" w:rsidRDefault="00DF2DA4" w:rsidP="00DF2DA4">
      <w:pPr>
        <w:spacing w:after="0" w:line="240" w:lineRule="auto"/>
        <w:jc w:val="both"/>
        <w:rPr>
          <w:rFonts w:ascii="Arial" w:eastAsia="Times New Roman" w:hAnsi="Arial" w:cs="Arial"/>
          <w:bCs/>
          <w:sz w:val="20"/>
          <w:szCs w:val="20"/>
          <w:lang w:eastAsia="es-ES"/>
        </w:rPr>
      </w:pPr>
    </w:p>
    <w:p w:rsidR="00DF2DA4" w:rsidRPr="00DF2DA4" w:rsidRDefault="00DF2DA4" w:rsidP="00DF2DA4">
      <w:pPr>
        <w:spacing w:after="0" w:line="240" w:lineRule="auto"/>
        <w:jc w:val="both"/>
        <w:rPr>
          <w:rFonts w:ascii="Arial" w:eastAsia="Times New Roman" w:hAnsi="Arial" w:cs="Arial"/>
          <w:bCs/>
          <w:sz w:val="20"/>
          <w:szCs w:val="20"/>
          <w:lang w:eastAsia="es-ES"/>
        </w:rPr>
      </w:pPr>
      <w:r w:rsidRPr="00DF2DA4">
        <w:rPr>
          <w:rFonts w:ascii="Arial" w:eastAsia="Times New Roman" w:hAnsi="Arial" w:cs="Arial"/>
          <w:bCs/>
          <w:sz w:val="20"/>
          <w:szCs w:val="20"/>
          <w:lang w:eastAsia="es-ES"/>
        </w:rPr>
        <w:t>El objetivo sectorial de este programa es fortalecer la conservación y el uso sostenible del patrimonio genético, natural y cultural, a partir de un ordenamiento territorial y marítimo basado en una participación concertada, que asegure el respeto, ejercicio y goce de los derechos humanos.</w:t>
      </w:r>
    </w:p>
    <w:p w:rsidR="00DF2DA4" w:rsidRPr="00DF2DA4" w:rsidRDefault="00DF2DA4" w:rsidP="00DF2DA4">
      <w:pPr>
        <w:spacing w:after="0" w:line="240" w:lineRule="auto"/>
        <w:jc w:val="both"/>
        <w:rPr>
          <w:rFonts w:ascii="Arial" w:eastAsia="Times New Roman" w:hAnsi="Arial" w:cs="Arial"/>
          <w:bCs/>
          <w:sz w:val="20"/>
          <w:szCs w:val="20"/>
          <w:lang w:eastAsia="es-ES"/>
        </w:rPr>
      </w:pPr>
    </w:p>
    <w:p w:rsidR="00DF2DA4" w:rsidRPr="00DF2DA4" w:rsidRDefault="00DF2DA4" w:rsidP="00DF2DA4">
      <w:pPr>
        <w:spacing w:after="0" w:line="240" w:lineRule="auto"/>
        <w:jc w:val="both"/>
        <w:rPr>
          <w:rFonts w:ascii="Arial" w:eastAsia="Times New Roman" w:hAnsi="Arial" w:cs="Arial"/>
          <w:bCs/>
          <w:sz w:val="20"/>
          <w:szCs w:val="20"/>
          <w:lang w:eastAsia="es-ES"/>
        </w:rPr>
      </w:pPr>
      <w:r w:rsidRPr="00DF2DA4">
        <w:rPr>
          <w:rFonts w:ascii="Arial" w:eastAsia="Times New Roman" w:hAnsi="Arial" w:cs="Arial"/>
          <w:bCs/>
          <w:sz w:val="20"/>
          <w:szCs w:val="20"/>
          <w:lang w:eastAsia="es-ES"/>
        </w:rPr>
        <w:t>Aunque la meta institucional para el año 2017 era la revisión de 9 planes, debe tomarse en consideración que la articulación de los planes reguladores de los 31 municipios que conforman la GAM con respecto al Plan GAM 2013-2030, se ha visto afectada por los Decretos 39150 y 38334 que están impugnados ante la Sala Constitucional, aspecto que ha incidido en la no presentación por parte de los municipios de los planes reguladores ante el INVU.</w:t>
      </w:r>
    </w:p>
    <w:p w:rsidR="00DF2DA4" w:rsidRPr="00DF2DA4" w:rsidRDefault="00DF2DA4" w:rsidP="00DF2DA4">
      <w:pPr>
        <w:spacing w:after="0" w:line="240" w:lineRule="auto"/>
        <w:jc w:val="both"/>
        <w:rPr>
          <w:rFonts w:ascii="Arial" w:eastAsia="Times New Roman" w:hAnsi="Arial" w:cs="Arial"/>
          <w:bCs/>
          <w:sz w:val="20"/>
          <w:szCs w:val="20"/>
          <w:lang w:eastAsia="es-ES"/>
        </w:rPr>
      </w:pPr>
    </w:p>
    <w:p w:rsidR="00DF2DA4" w:rsidRPr="00DF2DA4" w:rsidRDefault="00DF2DA4" w:rsidP="00DF2DA4">
      <w:pPr>
        <w:spacing w:after="0" w:line="240" w:lineRule="auto"/>
        <w:jc w:val="both"/>
        <w:rPr>
          <w:rFonts w:ascii="Arial" w:eastAsia="Times New Roman" w:hAnsi="Arial" w:cs="Arial"/>
          <w:bCs/>
          <w:sz w:val="20"/>
          <w:szCs w:val="20"/>
          <w:lang w:eastAsia="es-ES"/>
        </w:rPr>
      </w:pPr>
      <w:r w:rsidRPr="00DF2DA4">
        <w:rPr>
          <w:rFonts w:ascii="Arial" w:eastAsia="Times New Roman" w:hAnsi="Arial" w:cs="Arial"/>
          <w:bCs/>
          <w:sz w:val="20"/>
          <w:szCs w:val="20"/>
          <w:lang w:eastAsia="es-ES"/>
        </w:rPr>
        <w:t>La institución atiende el 100% de la demanda de solicitudes recibidas para concordar, además dispone de un indicador para el control del tiempo de revisión con plazo máximo de tres meses una vez presentados los planes.</w:t>
      </w:r>
    </w:p>
    <w:p w:rsidR="00DF2DA4" w:rsidRPr="00DF2DA4" w:rsidRDefault="00DF2DA4" w:rsidP="00DF2DA4">
      <w:pPr>
        <w:spacing w:after="0" w:line="240" w:lineRule="auto"/>
        <w:jc w:val="both"/>
        <w:rPr>
          <w:rFonts w:ascii="Arial" w:eastAsia="Times New Roman" w:hAnsi="Arial" w:cs="Arial"/>
          <w:bCs/>
          <w:sz w:val="20"/>
          <w:szCs w:val="20"/>
          <w:lang w:eastAsia="es-ES"/>
        </w:rPr>
      </w:pPr>
    </w:p>
    <w:p w:rsidR="00DF2DA4" w:rsidRPr="00DF2DA4" w:rsidRDefault="00DF2DA4" w:rsidP="00DF2DA4">
      <w:pPr>
        <w:spacing w:after="0" w:line="240" w:lineRule="auto"/>
        <w:jc w:val="both"/>
        <w:rPr>
          <w:rFonts w:ascii="Arial" w:eastAsia="Times New Roman" w:hAnsi="Arial" w:cs="Arial"/>
          <w:bCs/>
          <w:sz w:val="20"/>
          <w:szCs w:val="20"/>
          <w:lang w:eastAsia="es-ES"/>
        </w:rPr>
      </w:pPr>
      <w:r w:rsidRPr="00DF2DA4">
        <w:rPr>
          <w:rFonts w:ascii="Arial" w:eastAsia="Times New Roman" w:hAnsi="Arial" w:cs="Arial"/>
          <w:bCs/>
          <w:sz w:val="20"/>
          <w:szCs w:val="20"/>
          <w:lang w:eastAsia="es-ES"/>
        </w:rPr>
        <w:t xml:space="preserve">A pesar de que cada Institución participante en el proceso de articulación de planes reguladores (SETENA-SENARA-INVU) realizan esfuerzos de acuerdo a su ámbito de acción para la revisión de </w:t>
      </w:r>
      <w:r w:rsidRPr="00DF2DA4">
        <w:rPr>
          <w:rFonts w:ascii="Arial" w:eastAsia="Times New Roman" w:hAnsi="Arial" w:cs="Arial"/>
          <w:bCs/>
          <w:sz w:val="20"/>
          <w:szCs w:val="20"/>
          <w:lang w:eastAsia="es-ES"/>
        </w:rPr>
        <w:lastRenderedPageBreak/>
        <w:t>los planes reguladores, como un todo, al cierre del 2017 ningún plan fue concordado, debido a la impugnación legal de los Decretos N°39150 y N°38334, cuya resolución de la Sala Constitucional a los recursos presentados en contra de los decretos de cita, se encuentra pendiente.</w:t>
      </w:r>
    </w:p>
    <w:p w:rsidR="00DF2DA4" w:rsidRPr="00DF2DA4" w:rsidRDefault="00DF2DA4" w:rsidP="00DF2DA4">
      <w:pPr>
        <w:spacing w:after="0" w:line="240" w:lineRule="auto"/>
        <w:jc w:val="both"/>
        <w:rPr>
          <w:rFonts w:ascii="Arial" w:eastAsia="Times New Roman" w:hAnsi="Arial" w:cs="Arial"/>
          <w:bCs/>
          <w:sz w:val="20"/>
          <w:szCs w:val="20"/>
          <w:lang w:eastAsia="es-ES"/>
        </w:rPr>
      </w:pPr>
    </w:p>
    <w:p w:rsidR="00DF2DA4" w:rsidRPr="00DF2DA4" w:rsidRDefault="00DF2DA4" w:rsidP="00DF2DA4">
      <w:pPr>
        <w:spacing w:after="0" w:line="240" w:lineRule="auto"/>
        <w:jc w:val="both"/>
        <w:rPr>
          <w:rFonts w:ascii="Arial" w:eastAsia="Times New Roman" w:hAnsi="Arial" w:cs="Arial"/>
          <w:bCs/>
          <w:sz w:val="20"/>
          <w:szCs w:val="20"/>
          <w:lang w:eastAsia="es-ES"/>
        </w:rPr>
      </w:pPr>
      <w:r w:rsidRPr="00DF2DA4">
        <w:rPr>
          <w:rFonts w:ascii="Arial" w:eastAsia="Times New Roman" w:hAnsi="Arial" w:cs="Arial"/>
          <w:bCs/>
          <w:sz w:val="20"/>
          <w:szCs w:val="20"/>
          <w:lang w:eastAsia="es-ES"/>
        </w:rPr>
        <w:t>El proceso de articulación también se ve limitado por otros factores como son:</w:t>
      </w:r>
    </w:p>
    <w:p w:rsidR="00DF2DA4" w:rsidRPr="00DF2DA4" w:rsidRDefault="00DF2DA4" w:rsidP="00DF2DA4">
      <w:pPr>
        <w:spacing w:after="0" w:line="240" w:lineRule="auto"/>
        <w:jc w:val="both"/>
        <w:rPr>
          <w:rFonts w:ascii="Arial" w:eastAsia="Times New Roman" w:hAnsi="Arial" w:cs="Arial"/>
          <w:bCs/>
          <w:sz w:val="20"/>
          <w:szCs w:val="20"/>
          <w:lang w:eastAsia="es-ES"/>
        </w:rPr>
      </w:pPr>
    </w:p>
    <w:p w:rsidR="00DF2DA4" w:rsidRPr="00AD209C" w:rsidRDefault="00DF2DA4" w:rsidP="00AD209C">
      <w:pPr>
        <w:pStyle w:val="Prrafodelista"/>
        <w:numPr>
          <w:ilvl w:val="0"/>
          <w:numId w:val="19"/>
        </w:numPr>
        <w:spacing w:after="0" w:line="240" w:lineRule="auto"/>
        <w:jc w:val="both"/>
        <w:rPr>
          <w:rFonts w:ascii="Arial" w:eastAsia="Times New Roman" w:hAnsi="Arial" w:cs="Arial"/>
          <w:bCs/>
          <w:sz w:val="20"/>
          <w:szCs w:val="20"/>
          <w:lang w:eastAsia="es-ES"/>
        </w:rPr>
      </w:pPr>
      <w:r w:rsidRPr="00AD209C">
        <w:rPr>
          <w:rFonts w:ascii="Arial" w:eastAsia="Times New Roman" w:hAnsi="Arial" w:cs="Arial"/>
          <w:bCs/>
          <w:sz w:val="20"/>
          <w:szCs w:val="20"/>
          <w:lang w:eastAsia="es-ES"/>
        </w:rPr>
        <w:t>Presentación de la información de acuerdo con los requisitos estipulados en cada institución para lo que les corresponde.</w:t>
      </w:r>
    </w:p>
    <w:p w:rsidR="00DF2DA4" w:rsidRPr="00AD209C" w:rsidRDefault="00DF2DA4" w:rsidP="00AD209C">
      <w:pPr>
        <w:pStyle w:val="Prrafodelista"/>
        <w:numPr>
          <w:ilvl w:val="0"/>
          <w:numId w:val="19"/>
        </w:numPr>
        <w:spacing w:after="0" w:line="240" w:lineRule="auto"/>
        <w:jc w:val="both"/>
        <w:rPr>
          <w:rFonts w:ascii="Arial" w:eastAsia="Times New Roman" w:hAnsi="Arial" w:cs="Arial"/>
          <w:bCs/>
          <w:sz w:val="20"/>
          <w:szCs w:val="20"/>
          <w:lang w:eastAsia="es-ES"/>
        </w:rPr>
      </w:pPr>
      <w:r w:rsidRPr="00AD209C">
        <w:rPr>
          <w:rFonts w:ascii="Arial" w:eastAsia="Times New Roman" w:hAnsi="Arial" w:cs="Arial"/>
          <w:bCs/>
          <w:sz w:val="20"/>
          <w:szCs w:val="20"/>
          <w:lang w:eastAsia="es-ES"/>
        </w:rPr>
        <w:t>Falta de normativa que regule los plazos de respuesta de los municipios para la atención de las observaciones planteadas en cada institución.</w:t>
      </w:r>
    </w:p>
    <w:p w:rsidR="00DF2DA4" w:rsidRPr="00DF2DA4" w:rsidRDefault="00DF2DA4" w:rsidP="00DF2DA4">
      <w:pPr>
        <w:spacing w:after="0" w:line="240" w:lineRule="auto"/>
        <w:ind w:left="284" w:hanging="284"/>
        <w:jc w:val="both"/>
        <w:rPr>
          <w:rFonts w:ascii="Arial" w:hAnsi="Arial" w:cs="Arial"/>
          <w:b/>
          <w:sz w:val="20"/>
          <w:szCs w:val="20"/>
        </w:rPr>
      </w:pPr>
    </w:p>
    <w:p w:rsidR="00DF2DA4" w:rsidRPr="00AD209C" w:rsidRDefault="00DF2DA4" w:rsidP="00AD209C">
      <w:pPr>
        <w:pStyle w:val="Prrafodelista"/>
        <w:numPr>
          <w:ilvl w:val="0"/>
          <w:numId w:val="18"/>
        </w:numPr>
        <w:spacing w:after="0" w:line="240" w:lineRule="auto"/>
        <w:jc w:val="both"/>
        <w:rPr>
          <w:rFonts w:ascii="Arial" w:eastAsia="Times New Roman" w:hAnsi="Arial" w:cs="Arial"/>
          <w:b/>
          <w:sz w:val="20"/>
          <w:szCs w:val="20"/>
          <w:lang w:eastAsia="es-ES"/>
        </w:rPr>
      </w:pPr>
      <w:r w:rsidRPr="00AD209C">
        <w:rPr>
          <w:rFonts w:ascii="Arial" w:eastAsia="Times New Roman" w:hAnsi="Arial" w:cs="Arial"/>
          <w:b/>
          <w:sz w:val="20"/>
          <w:szCs w:val="20"/>
          <w:lang w:eastAsia="es-ES"/>
        </w:rPr>
        <w:t xml:space="preserve"> Programa de articulación de planes reguladores costeros que cuenten con viabilidad ambiental</w:t>
      </w:r>
    </w:p>
    <w:p w:rsidR="00DF2DA4" w:rsidRPr="00DF2DA4" w:rsidRDefault="00DF2DA4" w:rsidP="00DF2DA4">
      <w:pPr>
        <w:spacing w:after="0" w:line="240" w:lineRule="auto"/>
        <w:jc w:val="both"/>
        <w:rPr>
          <w:rFonts w:ascii="Arial" w:hAnsi="Arial" w:cs="Arial"/>
          <w:sz w:val="20"/>
          <w:szCs w:val="20"/>
        </w:rPr>
      </w:pPr>
    </w:p>
    <w:p w:rsidR="00DF2DA4" w:rsidRPr="00DF2DA4" w:rsidRDefault="00DF2DA4" w:rsidP="00DF2DA4">
      <w:pPr>
        <w:spacing w:after="0" w:line="240" w:lineRule="auto"/>
        <w:jc w:val="both"/>
        <w:rPr>
          <w:rFonts w:ascii="Arial" w:hAnsi="Arial" w:cs="Arial"/>
          <w:sz w:val="20"/>
          <w:szCs w:val="20"/>
        </w:rPr>
      </w:pPr>
      <w:r w:rsidRPr="00DF2DA4">
        <w:rPr>
          <w:rFonts w:ascii="Arial" w:hAnsi="Arial" w:cs="Arial"/>
          <w:sz w:val="20"/>
          <w:szCs w:val="20"/>
        </w:rPr>
        <w:t>El objetivo sectorial es contar con planes reguladores que contribuyan y orienten el desarrollo socioeconómico de la zona marítima terrestre. La participación del INVU dentro de este programa, tiene como objetivo revisar y aprobar los planes costeros.</w:t>
      </w:r>
    </w:p>
    <w:p w:rsidR="00DF2DA4" w:rsidRPr="00DF2DA4" w:rsidRDefault="00DF2DA4" w:rsidP="00DF2DA4">
      <w:pPr>
        <w:spacing w:after="0" w:line="240" w:lineRule="auto"/>
        <w:jc w:val="both"/>
        <w:rPr>
          <w:rFonts w:ascii="Arial" w:hAnsi="Arial" w:cs="Arial"/>
          <w:sz w:val="20"/>
          <w:szCs w:val="20"/>
        </w:rPr>
      </w:pPr>
    </w:p>
    <w:p w:rsidR="00DF2DA4" w:rsidRPr="00DF2DA4" w:rsidRDefault="00DF2DA4" w:rsidP="00DF2DA4">
      <w:pPr>
        <w:spacing w:after="0" w:line="240" w:lineRule="auto"/>
        <w:jc w:val="both"/>
        <w:rPr>
          <w:rFonts w:ascii="Arial" w:hAnsi="Arial" w:cs="Arial"/>
          <w:sz w:val="20"/>
          <w:szCs w:val="20"/>
        </w:rPr>
      </w:pPr>
      <w:r w:rsidRPr="00DF2DA4">
        <w:rPr>
          <w:rFonts w:ascii="Arial" w:hAnsi="Arial" w:cs="Arial"/>
          <w:sz w:val="20"/>
          <w:szCs w:val="20"/>
        </w:rPr>
        <w:t>La aprobación de los planes costeros es un trabajo interinstitucional del SENARA, SETENA, INVU, donde las dos primeras generan insumos indispensables para la revisión que hace este último.</w:t>
      </w:r>
    </w:p>
    <w:p w:rsidR="00DF2DA4" w:rsidRPr="00DF2DA4" w:rsidRDefault="00DF2DA4" w:rsidP="00DF2DA4">
      <w:pPr>
        <w:spacing w:after="0" w:line="240" w:lineRule="auto"/>
        <w:jc w:val="both"/>
        <w:rPr>
          <w:rFonts w:ascii="Arial" w:hAnsi="Arial" w:cs="Arial"/>
          <w:sz w:val="20"/>
          <w:szCs w:val="20"/>
        </w:rPr>
      </w:pPr>
    </w:p>
    <w:p w:rsidR="00DF2DA4" w:rsidRPr="00DF2DA4" w:rsidRDefault="00DF2DA4" w:rsidP="00DF2DA4">
      <w:pPr>
        <w:spacing w:after="0" w:line="240" w:lineRule="auto"/>
        <w:jc w:val="both"/>
        <w:rPr>
          <w:rFonts w:ascii="Arial" w:hAnsi="Arial" w:cs="Arial"/>
          <w:sz w:val="20"/>
          <w:szCs w:val="20"/>
        </w:rPr>
      </w:pPr>
      <w:r w:rsidRPr="00DF2DA4">
        <w:rPr>
          <w:rFonts w:ascii="Arial" w:hAnsi="Arial" w:cs="Arial"/>
          <w:sz w:val="20"/>
          <w:szCs w:val="20"/>
        </w:rPr>
        <w:t xml:space="preserve">En el PND se incluye los planes reguladores integrales: Sámara-Carrillo (Nicoya y Hojancha), Santa Teresa-Mal País, Drake, y San Miguel-Coyote. </w:t>
      </w:r>
    </w:p>
    <w:p w:rsidR="00DF2DA4" w:rsidRPr="00DF2DA4" w:rsidRDefault="00DF2DA4" w:rsidP="00DF2DA4">
      <w:pPr>
        <w:spacing w:after="0" w:line="240" w:lineRule="auto"/>
        <w:jc w:val="both"/>
        <w:rPr>
          <w:rFonts w:ascii="Arial" w:hAnsi="Arial" w:cs="Arial"/>
          <w:sz w:val="20"/>
          <w:szCs w:val="20"/>
        </w:rPr>
      </w:pPr>
    </w:p>
    <w:p w:rsidR="00DF2DA4" w:rsidRPr="00DF2DA4" w:rsidRDefault="00DF2DA4" w:rsidP="00DF2DA4">
      <w:pPr>
        <w:spacing w:after="0" w:line="240" w:lineRule="auto"/>
        <w:jc w:val="both"/>
        <w:rPr>
          <w:rFonts w:ascii="Arial" w:hAnsi="Arial" w:cs="Arial"/>
          <w:sz w:val="20"/>
          <w:szCs w:val="20"/>
        </w:rPr>
      </w:pPr>
      <w:r w:rsidRPr="00DF2DA4">
        <w:rPr>
          <w:rFonts w:ascii="Arial" w:hAnsi="Arial" w:cs="Arial"/>
          <w:sz w:val="20"/>
          <w:szCs w:val="20"/>
        </w:rPr>
        <w:t>El 27/01/2016 se recibió el plan regulador integral Sámara – Carrillo, mismo que fue devuelto con observaciones el día 17/02/16, a la fecha no sea presentado de nuevo al INVU con las observaciones subsanadas.</w:t>
      </w:r>
    </w:p>
    <w:p w:rsidR="00DF2DA4" w:rsidRPr="00DF2DA4" w:rsidRDefault="00DF2DA4" w:rsidP="00DF2DA4">
      <w:pPr>
        <w:spacing w:after="0" w:line="240" w:lineRule="auto"/>
        <w:jc w:val="both"/>
        <w:rPr>
          <w:rFonts w:ascii="Arial" w:hAnsi="Arial" w:cs="Arial"/>
          <w:sz w:val="20"/>
          <w:szCs w:val="20"/>
        </w:rPr>
      </w:pPr>
    </w:p>
    <w:p w:rsidR="00DF2DA4" w:rsidRPr="00DF2DA4" w:rsidRDefault="00DF2DA4" w:rsidP="00DF2DA4">
      <w:pPr>
        <w:spacing w:after="0" w:line="240" w:lineRule="auto"/>
        <w:jc w:val="both"/>
        <w:rPr>
          <w:rFonts w:ascii="Arial" w:hAnsi="Arial" w:cs="Arial"/>
          <w:sz w:val="20"/>
          <w:szCs w:val="20"/>
        </w:rPr>
      </w:pPr>
      <w:r w:rsidRPr="00DF2DA4">
        <w:rPr>
          <w:rFonts w:ascii="Arial" w:hAnsi="Arial" w:cs="Arial"/>
          <w:sz w:val="20"/>
          <w:szCs w:val="20"/>
        </w:rPr>
        <w:t xml:space="preserve">Con respecto a Santa Teresa – Mal País, Drake y San Miguel Coyote, no han sido presentados para su revisión. </w:t>
      </w:r>
    </w:p>
    <w:p w:rsidR="00DF2DA4" w:rsidRPr="00DF2DA4" w:rsidRDefault="00DF2DA4" w:rsidP="00DF2DA4">
      <w:pPr>
        <w:spacing w:after="0" w:line="240" w:lineRule="auto"/>
        <w:jc w:val="both"/>
        <w:rPr>
          <w:rFonts w:ascii="Arial" w:hAnsi="Arial" w:cs="Arial"/>
          <w:sz w:val="20"/>
          <w:szCs w:val="20"/>
        </w:rPr>
      </w:pPr>
    </w:p>
    <w:p w:rsidR="00DF2DA4" w:rsidRPr="00DF2DA4" w:rsidRDefault="00DF2DA4" w:rsidP="00DF2DA4">
      <w:pPr>
        <w:spacing w:after="0" w:line="240" w:lineRule="auto"/>
        <w:jc w:val="both"/>
        <w:rPr>
          <w:rFonts w:ascii="Arial" w:hAnsi="Arial" w:cs="Arial"/>
          <w:sz w:val="20"/>
          <w:szCs w:val="20"/>
        </w:rPr>
      </w:pPr>
      <w:r w:rsidRPr="00DF2DA4">
        <w:rPr>
          <w:rFonts w:ascii="Arial" w:hAnsi="Arial" w:cs="Arial"/>
          <w:sz w:val="20"/>
          <w:szCs w:val="20"/>
        </w:rPr>
        <w:t>Compete al ICT la remisión de los planes reguladores integrales en la ZMT, de acuerdo con la normativa vigente.</w:t>
      </w:r>
    </w:p>
    <w:p w:rsidR="00DF2DA4" w:rsidRPr="00DF2DA4" w:rsidRDefault="00DF2DA4" w:rsidP="00DF2DA4">
      <w:pPr>
        <w:spacing w:after="0" w:line="240" w:lineRule="auto"/>
        <w:jc w:val="both"/>
        <w:rPr>
          <w:rFonts w:ascii="Arial" w:hAnsi="Arial" w:cs="Arial"/>
          <w:sz w:val="20"/>
          <w:szCs w:val="20"/>
        </w:rPr>
      </w:pPr>
    </w:p>
    <w:p w:rsidR="00DF2DA4" w:rsidRPr="00DF2DA4" w:rsidRDefault="00DF2DA4" w:rsidP="00DF2DA4">
      <w:pPr>
        <w:spacing w:after="0" w:line="240" w:lineRule="auto"/>
        <w:jc w:val="both"/>
        <w:rPr>
          <w:rFonts w:ascii="Arial" w:hAnsi="Arial" w:cs="Arial"/>
          <w:sz w:val="20"/>
          <w:szCs w:val="20"/>
        </w:rPr>
      </w:pPr>
      <w:r w:rsidRPr="00DF2DA4">
        <w:rPr>
          <w:rFonts w:ascii="Arial" w:hAnsi="Arial" w:cs="Arial"/>
          <w:sz w:val="20"/>
          <w:szCs w:val="20"/>
        </w:rPr>
        <w:t>Sin embargo, ni el Instituto Costarricense de Turismo (ICT) ni los municipios con territorio costero, presentaron nuevos planes reguladores costeros para análisis.</w:t>
      </w:r>
    </w:p>
    <w:p w:rsidR="00DF2DA4" w:rsidRPr="00DF2DA4" w:rsidRDefault="00DF2DA4" w:rsidP="00DF2DA4">
      <w:pPr>
        <w:spacing w:after="0" w:line="240" w:lineRule="auto"/>
        <w:jc w:val="both"/>
        <w:rPr>
          <w:rFonts w:ascii="Arial" w:hAnsi="Arial" w:cs="Arial"/>
          <w:sz w:val="20"/>
          <w:szCs w:val="20"/>
        </w:rPr>
      </w:pPr>
    </w:p>
    <w:p w:rsidR="00DF2DA4" w:rsidRPr="00DF2DA4" w:rsidRDefault="00DF2DA4" w:rsidP="00AD209C">
      <w:pPr>
        <w:pStyle w:val="Prrafodelista"/>
        <w:numPr>
          <w:ilvl w:val="0"/>
          <w:numId w:val="18"/>
        </w:numPr>
        <w:spacing w:after="0" w:line="240" w:lineRule="auto"/>
        <w:jc w:val="both"/>
        <w:rPr>
          <w:rFonts w:ascii="Arial" w:hAnsi="Arial" w:cs="Arial"/>
          <w:b/>
          <w:sz w:val="20"/>
          <w:szCs w:val="20"/>
        </w:rPr>
      </w:pPr>
      <w:r w:rsidRPr="00DF2DA4">
        <w:rPr>
          <w:rFonts w:ascii="Arial" w:hAnsi="Arial" w:cs="Arial"/>
          <w:b/>
          <w:sz w:val="20"/>
          <w:szCs w:val="20"/>
        </w:rPr>
        <w:t xml:space="preserve"> </w:t>
      </w:r>
      <w:r w:rsidRPr="00AD209C">
        <w:rPr>
          <w:rFonts w:ascii="Arial" w:eastAsia="Times New Roman" w:hAnsi="Arial" w:cs="Arial"/>
          <w:b/>
          <w:sz w:val="20"/>
          <w:szCs w:val="20"/>
          <w:lang w:eastAsia="es-ES"/>
        </w:rPr>
        <w:t>Proyecto manejo y saneamiento de la cuenca hidrográfica María Aguilar abordado de manera municipal.</w:t>
      </w:r>
    </w:p>
    <w:p w:rsidR="00DF2DA4" w:rsidRPr="00DF2DA4" w:rsidRDefault="00DF2DA4" w:rsidP="00DF2DA4">
      <w:pPr>
        <w:spacing w:after="0" w:line="240" w:lineRule="auto"/>
        <w:jc w:val="both"/>
        <w:rPr>
          <w:rFonts w:ascii="Arial" w:hAnsi="Arial" w:cs="Arial"/>
          <w:sz w:val="20"/>
          <w:szCs w:val="20"/>
        </w:rPr>
      </w:pPr>
    </w:p>
    <w:p w:rsidR="00DF2DA4" w:rsidRPr="00DF2DA4" w:rsidRDefault="00DF2DA4" w:rsidP="00DF2DA4">
      <w:pPr>
        <w:spacing w:after="0" w:line="240" w:lineRule="auto"/>
        <w:jc w:val="both"/>
        <w:rPr>
          <w:rFonts w:ascii="Arial" w:hAnsi="Arial" w:cs="Arial"/>
          <w:sz w:val="20"/>
          <w:szCs w:val="20"/>
        </w:rPr>
      </w:pPr>
      <w:r w:rsidRPr="00DF2DA4">
        <w:rPr>
          <w:rFonts w:ascii="Arial" w:hAnsi="Arial" w:cs="Arial"/>
          <w:sz w:val="20"/>
          <w:szCs w:val="20"/>
        </w:rPr>
        <w:t>El objetivo de este programa a nivel sectorial, es fortalecer la conservación y el uso sostenible del patrimonio genético, natural y cultural, a partir de un ordenamiento territorial y marítimo basado en una participación concertada, que asegure el respeto, ejercicio y goce de los derechos humanos.</w:t>
      </w:r>
    </w:p>
    <w:p w:rsidR="00DF2DA4" w:rsidRPr="00DF2DA4" w:rsidRDefault="00DF2DA4" w:rsidP="00DF2DA4">
      <w:pPr>
        <w:spacing w:after="0" w:line="240" w:lineRule="auto"/>
        <w:jc w:val="both"/>
        <w:rPr>
          <w:rFonts w:ascii="Arial" w:hAnsi="Arial" w:cs="Arial"/>
          <w:sz w:val="20"/>
          <w:szCs w:val="20"/>
        </w:rPr>
      </w:pPr>
    </w:p>
    <w:p w:rsidR="00DF2DA4" w:rsidRPr="00DF2DA4" w:rsidRDefault="00DF2DA4" w:rsidP="00DF2DA4">
      <w:pPr>
        <w:spacing w:after="0" w:line="240" w:lineRule="auto"/>
        <w:jc w:val="both"/>
        <w:rPr>
          <w:rFonts w:ascii="Arial" w:hAnsi="Arial" w:cs="Arial"/>
          <w:sz w:val="20"/>
          <w:szCs w:val="20"/>
        </w:rPr>
      </w:pPr>
      <w:r w:rsidRPr="00DF2DA4">
        <w:rPr>
          <w:rFonts w:ascii="Arial" w:hAnsi="Arial" w:cs="Arial"/>
          <w:sz w:val="20"/>
          <w:szCs w:val="20"/>
        </w:rPr>
        <w:t>La participación del INVU para el logro de ese objetivo, se da mediante una permanente   coordinación con las municipalidades de La Unión, Curridabat, Montes de Oca, San José y de Alajuelita, que son los cantones que atraviesa la cuenca.</w:t>
      </w:r>
    </w:p>
    <w:p w:rsidR="00DF2DA4" w:rsidRPr="00DF2DA4" w:rsidRDefault="00DF2DA4" w:rsidP="00DF2DA4">
      <w:pPr>
        <w:spacing w:after="0" w:line="240" w:lineRule="auto"/>
        <w:jc w:val="both"/>
        <w:rPr>
          <w:rFonts w:ascii="Arial" w:hAnsi="Arial" w:cs="Arial"/>
          <w:sz w:val="20"/>
          <w:szCs w:val="20"/>
        </w:rPr>
      </w:pPr>
    </w:p>
    <w:p w:rsidR="00DF2DA4" w:rsidRPr="00DF2DA4" w:rsidRDefault="00DF2DA4" w:rsidP="00DF2DA4">
      <w:pPr>
        <w:spacing w:after="0" w:line="240" w:lineRule="auto"/>
        <w:jc w:val="both"/>
        <w:rPr>
          <w:rFonts w:ascii="Arial" w:hAnsi="Arial" w:cs="Arial"/>
          <w:sz w:val="20"/>
          <w:szCs w:val="20"/>
        </w:rPr>
      </w:pPr>
      <w:r w:rsidRPr="00DF2DA4">
        <w:rPr>
          <w:rFonts w:ascii="Arial" w:hAnsi="Arial" w:cs="Arial"/>
          <w:sz w:val="20"/>
          <w:szCs w:val="20"/>
        </w:rPr>
        <w:t xml:space="preserve">Para el año 2017 se esperaba lograr una cobertura de protección del 75% de la extensión de la cuenca, estimada en </w:t>
      </w:r>
      <w:smartTag w:uri="urn:schemas-microsoft-com:office:smarttags" w:element="metricconverter">
        <w:smartTagPr>
          <w:attr w:name="ProductID" w:val="36.000 metros"/>
        </w:smartTagPr>
        <w:r w:rsidRPr="00DF2DA4">
          <w:rPr>
            <w:rFonts w:ascii="Arial" w:hAnsi="Arial" w:cs="Arial"/>
            <w:sz w:val="20"/>
            <w:szCs w:val="20"/>
          </w:rPr>
          <w:t>36.000 metros</w:t>
        </w:r>
      </w:smartTag>
      <w:r w:rsidRPr="00DF2DA4">
        <w:rPr>
          <w:rFonts w:ascii="Arial" w:hAnsi="Arial" w:cs="Arial"/>
          <w:sz w:val="20"/>
          <w:szCs w:val="20"/>
        </w:rPr>
        <w:t xml:space="preserve"> lineales.</w:t>
      </w:r>
    </w:p>
    <w:p w:rsidR="00DF2DA4" w:rsidRPr="00DF2DA4" w:rsidRDefault="00DF2DA4" w:rsidP="00DF2DA4">
      <w:pPr>
        <w:spacing w:after="0" w:line="240" w:lineRule="auto"/>
        <w:jc w:val="both"/>
        <w:rPr>
          <w:rFonts w:ascii="Arial" w:hAnsi="Arial" w:cs="Arial"/>
          <w:sz w:val="20"/>
          <w:szCs w:val="20"/>
        </w:rPr>
      </w:pPr>
    </w:p>
    <w:p w:rsidR="00DF2DA4" w:rsidRPr="00DF2DA4" w:rsidRDefault="00DF2DA4" w:rsidP="00DF2DA4">
      <w:pPr>
        <w:spacing w:after="0" w:line="240" w:lineRule="auto"/>
        <w:jc w:val="both"/>
        <w:rPr>
          <w:rFonts w:ascii="Arial" w:hAnsi="Arial" w:cs="Arial"/>
          <w:sz w:val="20"/>
          <w:szCs w:val="20"/>
        </w:rPr>
      </w:pPr>
      <w:r w:rsidRPr="00DF2DA4">
        <w:rPr>
          <w:rFonts w:ascii="Arial" w:hAnsi="Arial" w:cs="Arial"/>
          <w:sz w:val="20"/>
          <w:szCs w:val="20"/>
        </w:rPr>
        <w:lastRenderedPageBreak/>
        <w:t>Durante el año hubo una contribución interinstitucional, que permitió el logro de un 100% de lo programado.</w:t>
      </w:r>
    </w:p>
    <w:p w:rsidR="00DF2DA4" w:rsidRPr="00DF2DA4" w:rsidRDefault="00DF2DA4" w:rsidP="00DF2DA4">
      <w:pPr>
        <w:spacing w:after="0" w:line="240" w:lineRule="auto"/>
        <w:jc w:val="both"/>
        <w:rPr>
          <w:rFonts w:ascii="Arial" w:hAnsi="Arial" w:cs="Arial"/>
          <w:sz w:val="20"/>
          <w:szCs w:val="20"/>
        </w:rPr>
      </w:pPr>
    </w:p>
    <w:p w:rsidR="00DF2DA4" w:rsidRPr="00DF2DA4" w:rsidRDefault="00DF2DA4" w:rsidP="00DF2DA4">
      <w:pPr>
        <w:spacing w:after="0" w:line="240" w:lineRule="auto"/>
        <w:jc w:val="both"/>
        <w:rPr>
          <w:rFonts w:ascii="Arial" w:hAnsi="Arial" w:cs="Arial"/>
          <w:sz w:val="20"/>
          <w:szCs w:val="20"/>
        </w:rPr>
      </w:pPr>
      <w:r w:rsidRPr="00DF2DA4">
        <w:rPr>
          <w:rFonts w:ascii="Arial" w:hAnsi="Arial" w:cs="Arial"/>
          <w:sz w:val="20"/>
          <w:szCs w:val="20"/>
        </w:rPr>
        <w:t>Esa contribución se considera que es una actividad programada y continua, por lo que los municipios destinan recursos ordinarios para labores de limpieza, chapea, recolección de basura y reforestación del cauce y márgenes del rio.</w:t>
      </w:r>
    </w:p>
    <w:p w:rsidR="00DF2DA4" w:rsidRPr="00DF2DA4" w:rsidRDefault="00DF2DA4" w:rsidP="00DF2DA4">
      <w:pPr>
        <w:spacing w:after="0" w:line="240" w:lineRule="auto"/>
        <w:jc w:val="both"/>
        <w:rPr>
          <w:rFonts w:ascii="Arial" w:hAnsi="Arial" w:cs="Arial"/>
          <w:bCs/>
          <w:sz w:val="20"/>
          <w:szCs w:val="20"/>
          <w:lang w:eastAsia="ja-JP"/>
        </w:rPr>
      </w:pPr>
    </w:p>
    <w:p w:rsidR="00DF2DA4" w:rsidRPr="00DF2DA4" w:rsidRDefault="00DF2DA4" w:rsidP="00DF2DA4">
      <w:pPr>
        <w:spacing w:after="0" w:line="240" w:lineRule="auto"/>
        <w:jc w:val="both"/>
        <w:rPr>
          <w:rFonts w:ascii="Arial" w:hAnsi="Arial" w:cs="Arial"/>
          <w:bCs/>
          <w:sz w:val="20"/>
          <w:szCs w:val="20"/>
          <w:lang w:eastAsia="ja-JP"/>
        </w:rPr>
      </w:pPr>
      <w:r w:rsidRPr="00DF2DA4">
        <w:rPr>
          <w:rFonts w:ascii="Arial" w:hAnsi="Arial" w:cs="Arial"/>
          <w:bCs/>
          <w:sz w:val="20"/>
          <w:szCs w:val="20"/>
          <w:lang w:eastAsia="ja-JP"/>
        </w:rPr>
        <w:t>Al concluir el 2017, la meta se ha cumplido de acuerdo a lo programado, sin embargo, el mayor problema que se presenta es la falta de personal, dado que no se cuenta con una cuadrilla fija para dedicarse a reforestaciones o limpiezas de cauces, para este caso particular, se requiere de la colaboración de la comunidad para lograrlo. Sin embargo, otro problema que se enfrenta en el manejo de la cuenca del María Aguilar, es la alta urbanización y la expansión de más construcciones, por lo que se enfrenta un serio problema para la creación de la trama verde, debido a los pocos sitios que existen para reforestación.</w:t>
      </w:r>
    </w:p>
    <w:p w:rsidR="00AD209C" w:rsidRDefault="00AD209C" w:rsidP="00DF2DA4">
      <w:pPr>
        <w:spacing w:after="0" w:line="240" w:lineRule="auto"/>
        <w:jc w:val="both"/>
        <w:rPr>
          <w:rFonts w:ascii="Arial" w:hAnsi="Arial" w:cs="Arial"/>
          <w:bCs/>
          <w:sz w:val="20"/>
          <w:szCs w:val="20"/>
          <w:lang w:eastAsia="ja-JP"/>
        </w:rPr>
      </w:pPr>
    </w:p>
    <w:p w:rsidR="00DF2DA4" w:rsidRPr="00DF2DA4" w:rsidRDefault="00DF2DA4" w:rsidP="00DF2DA4">
      <w:pPr>
        <w:spacing w:after="0" w:line="240" w:lineRule="auto"/>
        <w:jc w:val="both"/>
        <w:rPr>
          <w:rFonts w:ascii="Arial" w:hAnsi="Arial" w:cs="Arial"/>
          <w:bCs/>
          <w:sz w:val="20"/>
          <w:szCs w:val="20"/>
          <w:lang w:eastAsia="ja-JP"/>
        </w:rPr>
      </w:pPr>
      <w:r w:rsidRPr="00DF2DA4">
        <w:rPr>
          <w:rFonts w:ascii="Arial" w:hAnsi="Arial" w:cs="Arial"/>
          <w:bCs/>
          <w:sz w:val="20"/>
          <w:szCs w:val="20"/>
          <w:lang w:eastAsia="ja-JP"/>
        </w:rPr>
        <w:t xml:space="preserve">La educación ambiental también se ve limitada, debido a la gran cantidad de centros educativos públicos que existen en los cantones, frente a la reducida cantidad de capacitadores, lo cual hace que los grupos impactados, sean reducidos. </w:t>
      </w:r>
    </w:p>
    <w:p w:rsidR="00AD209C" w:rsidRDefault="00AD209C" w:rsidP="00DF2DA4">
      <w:pPr>
        <w:spacing w:after="0" w:line="240" w:lineRule="auto"/>
        <w:jc w:val="both"/>
        <w:rPr>
          <w:rFonts w:ascii="Arial" w:hAnsi="Arial" w:cs="Arial"/>
          <w:bCs/>
          <w:sz w:val="20"/>
          <w:szCs w:val="20"/>
          <w:lang w:eastAsia="ja-JP"/>
        </w:rPr>
      </w:pPr>
    </w:p>
    <w:p w:rsidR="00DF2DA4" w:rsidRPr="00DF2DA4" w:rsidRDefault="00DF2DA4" w:rsidP="00DF2DA4">
      <w:pPr>
        <w:spacing w:after="0" w:line="240" w:lineRule="auto"/>
        <w:jc w:val="both"/>
        <w:rPr>
          <w:rFonts w:ascii="Arial" w:hAnsi="Arial" w:cs="Arial"/>
          <w:sz w:val="20"/>
          <w:szCs w:val="20"/>
        </w:rPr>
      </w:pPr>
      <w:r w:rsidRPr="00DF2DA4">
        <w:rPr>
          <w:rFonts w:ascii="Arial" w:hAnsi="Arial" w:cs="Arial"/>
          <w:bCs/>
          <w:sz w:val="20"/>
          <w:szCs w:val="20"/>
          <w:lang w:eastAsia="ja-JP"/>
        </w:rPr>
        <w:t>La recolección de residuos no tradicionales, es poco frecuente en algunos territorios de la cuenca, por otro lado, el</w:t>
      </w:r>
      <w:r w:rsidRPr="00DF2DA4">
        <w:rPr>
          <w:rFonts w:ascii="Arial" w:hAnsi="Arial" w:cs="Arial"/>
          <w:sz w:val="20"/>
          <w:szCs w:val="20"/>
        </w:rPr>
        <w:t xml:space="preserve"> tema de aguas residuales es prioritario para el saneamiento de la cuenca, sin embargo, la falta del personal del Ministerio de Salud hace que el impacto sea mínimo, por lo que en esa área queda muy debajo del resultado esperado.</w:t>
      </w:r>
    </w:p>
    <w:p w:rsidR="00AD209C" w:rsidRDefault="00AD209C" w:rsidP="00DF2DA4">
      <w:pPr>
        <w:spacing w:after="0" w:line="240" w:lineRule="auto"/>
        <w:jc w:val="both"/>
        <w:rPr>
          <w:rFonts w:ascii="Arial" w:hAnsi="Arial" w:cs="Arial"/>
          <w:sz w:val="20"/>
          <w:szCs w:val="20"/>
        </w:rPr>
      </w:pPr>
    </w:p>
    <w:p w:rsidR="00DF2DA4" w:rsidRPr="00DF2DA4" w:rsidRDefault="00DF2DA4" w:rsidP="00DF2DA4">
      <w:pPr>
        <w:spacing w:after="0" w:line="240" w:lineRule="auto"/>
        <w:jc w:val="both"/>
        <w:rPr>
          <w:rFonts w:ascii="Arial" w:hAnsi="Arial" w:cs="Arial"/>
          <w:sz w:val="20"/>
          <w:szCs w:val="20"/>
        </w:rPr>
      </w:pPr>
      <w:r w:rsidRPr="00DF2DA4">
        <w:rPr>
          <w:rFonts w:ascii="Arial" w:hAnsi="Arial" w:cs="Arial"/>
          <w:sz w:val="20"/>
          <w:szCs w:val="20"/>
        </w:rPr>
        <w:t>A pesar de los obstáculos y dificultades mencionadas, se ha logrado cumplir con la meta del Plan Nacional al 100%</w:t>
      </w:r>
      <w:r w:rsidR="00AD209C" w:rsidRPr="00DF2DA4">
        <w:rPr>
          <w:rFonts w:ascii="Arial" w:hAnsi="Arial" w:cs="Arial"/>
          <w:sz w:val="20"/>
          <w:szCs w:val="20"/>
        </w:rPr>
        <w:t>, mediante</w:t>
      </w:r>
      <w:r w:rsidRPr="00DF2DA4">
        <w:rPr>
          <w:rFonts w:ascii="Arial" w:hAnsi="Arial" w:cs="Arial"/>
          <w:sz w:val="20"/>
          <w:szCs w:val="20"/>
        </w:rPr>
        <w:t xml:space="preserve"> un trabajó en una forma coordinada y articulada con la participación del sector público, privado y de la sociedad civil.</w:t>
      </w:r>
    </w:p>
    <w:p w:rsidR="00DF2DA4" w:rsidRPr="00CF1C59" w:rsidRDefault="00DF2DA4" w:rsidP="00DF2DA4"/>
    <w:p w:rsidR="00DA62C0" w:rsidRDefault="00623888" w:rsidP="00623888">
      <w:pPr>
        <w:pStyle w:val="Ttulo2"/>
        <w:keepLines w:val="0"/>
        <w:spacing w:before="0" w:line="240" w:lineRule="auto"/>
        <w:ind w:left="1080"/>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 </w:t>
      </w:r>
    </w:p>
    <w:p w:rsidR="00DA62C0" w:rsidRDefault="00DA62C0">
      <w:pPr>
        <w:rPr>
          <w:rFonts w:ascii="Arial" w:eastAsia="Times New Roman" w:hAnsi="Arial" w:cs="Arial"/>
          <w:sz w:val="20"/>
          <w:szCs w:val="20"/>
          <w:lang w:val="es-ES" w:eastAsia="es-ES"/>
        </w:rPr>
      </w:pPr>
      <w:r>
        <w:rPr>
          <w:rFonts w:ascii="Arial" w:eastAsia="Times New Roman" w:hAnsi="Arial" w:cs="Arial"/>
          <w:sz w:val="20"/>
          <w:szCs w:val="20"/>
          <w:lang w:val="es-ES" w:eastAsia="es-ES"/>
        </w:rPr>
        <w:br w:type="page"/>
      </w:r>
    </w:p>
    <w:p w:rsidR="00AD209C" w:rsidRPr="00AD209C" w:rsidRDefault="00AD209C" w:rsidP="00AD209C">
      <w:pPr>
        <w:pStyle w:val="Ttulo1"/>
        <w:keepLines w:val="0"/>
        <w:numPr>
          <w:ilvl w:val="0"/>
          <w:numId w:val="1"/>
        </w:numPr>
        <w:spacing w:after="60" w:line="240" w:lineRule="auto"/>
        <w:jc w:val="both"/>
        <w:rPr>
          <w:rFonts w:ascii="Arial" w:eastAsia="Times New Roman" w:hAnsi="Arial" w:cs="Arial"/>
          <w:b/>
          <w:bCs/>
          <w:color w:val="auto"/>
          <w:kern w:val="32"/>
          <w:sz w:val="20"/>
          <w:szCs w:val="20"/>
          <w:lang w:eastAsia="es-ES"/>
        </w:rPr>
      </w:pPr>
      <w:r w:rsidRPr="00AD209C">
        <w:rPr>
          <w:rFonts w:ascii="Arial" w:eastAsia="Times New Roman" w:hAnsi="Arial" w:cs="Arial"/>
          <w:b/>
          <w:bCs/>
          <w:color w:val="auto"/>
          <w:kern w:val="32"/>
          <w:sz w:val="20"/>
          <w:szCs w:val="20"/>
          <w:lang w:eastAsia="es-ES"/>
        </w:rPr>
        <w:lastRenderedPageBreak/>
        <w:t>ACCIONES DE MEJORA POR PROGRAMA PRESUPUESTARIO</w:t>
      </w:r>
    </w:p>
    <w:p w:rsidR="00A05CCB" w:rsidRPr="00F115D3" w:rsidRDefault="00E00474" w:rsidP="00A05CCB">
      <w:pPr>
        <w:spacing w:line="240" w:lineRule="auto"/>
        <w:rPr>
          <w:rFonts w:ascii="Arial" w:hAnsi="Arial" w:cs="Arial"/>
          <w:b/>
          <w:sz w:val="20"/>
          <w:szCs w:val="20"/>
        </w:rPr>
      </w:pPr>
      <w:r w:rsidRPr="00E00474">
        <w:rPr>
          <w:noProof/>
          <w:lang w:eastAsia="es-CR"/>
        </w:rPr>
        <w:drawing>
          <wp:inline distT="0" distB="0" distL="0" distR="0" wp14:anchorId="15DAC649" wp14:editId="04F59166">
            <wp:extent cx="5936776" cy="7157815"/>
            <wp:effectExtent l="0" t="0" r="6985" b="508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2535" cy="7164759"/>
                    </a:xfrm>
                    <a:prstGeom prst="rect">
                      <a:avLst/>
                    </a:prstGeom>
                    <a:noFill/>
                    <a:ln>
                      <a:noFill/>
                    </a:ln>
                  </pic:spPr>
                </pic:pic>
              </a:graphicData>
            </a:graphic>
          </wp:inline>
        </w:drawing>
      </w:r>
      <w:r w:rsidR="00AD209C" w:rsidRPr="00AD209C">
        <w:rPr>
          <w:rFonts w:ascii="Arial" w:eastAsia="Times New Roman" w:hAnsi="Arial" w:cs="Arial"/>
          <w:b/>
          <w:bCs/>
          <w:kern w:val="32"/>
          <w:sz w:val="20"/>
          <w:szCs w:val="20"/>
          <w:lang w:eastAsia="es-ES"/>
        </w:rPr>
        <w:br w:type="page"/>
      </w:r>
    </w:p>
    <w:p w:rsidR="00A05CCB" w:rsidRPr="00A05CCB" w:rsidRDefault="00A05CCB" w:rsidP="00A05CCB">
      <w:pPr>
        <w:pStyle w:val="Ttulo1"/>
        <w:keepLines w:val="0"/>
        <w:numPr>
          <w:ilvl w:val="0"/>
          <w:numId w:val="1"/>
        </w:numPr>
        <w:spacing w:after="60" w:line="240" w:lineRule="auto"/>
        <w:jc w:val="both"/>
        <w:rPr>
          <w:rFonts w:ascii="Arial" w:eastAsia="Times New Roman" w:hAnsi="Arial" w:cs="Arial"/>
          <w:b/>
          <w:bCs/>
          <w:color w:val="auto"/>
          <w:kern w:val="32"/>
          <w:sz w:val="20"/>
          <w:szCs w:val="20"/>
          <w:lang w:eastAsia="es-ES"/>
        </w:rPr>
      </w:pPr>
      <w:r w:rsidRPr="00A05CCB">
        <w:rPr>
          <w:rFonts w:ascii="Arial" w:eastAsia="Times New Roman" w:hAnsi="Arial" w:cs="Arial"/>
          <w:b/>
          <w:bCs/>
          <w:color w:val="auto"/>
          <w:kern w:val="32"/>
          <w:sz w:val="20"/>
          <w:szCs w:val="20"/>
          <w:lang w:eastAsia="es-ES"/>
        </w:rPr>
        <w:lastRenderedPageBreak/>
        <w:t>ANÁLISIS DE LA EJECUCIÓN PRESUPUESTARIA 2017</w:t>
      </w:r>
    </w:p>
    <w:p w:rsidR="00A05CCB" w:rsidRDefault="00A05CCB" w:rsidP="00A05CCB">
      <w:pPr>
        <w:pStyle w:val="Default"/>
        <w:jc w:val="both"/>
        <w:rPr>
          <w:b/>
          <w:bCs/>
          <w:sz w:val="20"/>
          <w:szCs w:val="20"/>
        </w:rPr>
      </w:pPr>
    </w:p>
    <w:p w:rsidR="00A05CCB" w:rsidRPr="00F115D3" w:rsidRDefault="00A05CCB" w:rsidP="00A05CCB">
      <w:pPr>
        <w:pStyle w:val="Default"/>
        <w:jc w:val="both"/>
        <w:rPr>
          <w:b/>
          <w:bCs/>
          <w:sz w:val="20"/>
          <w:szCs w:val="20"/>
        </w:rPr>
      </w:pPr>
      <w:r w:rsidRPr="00F115D3">
        <w:rPr>
          <w:b/>
          <w:bCs/>
          <w:sz w:val="20"/>
          <w:szCs w:val="20"/>
        </w:rPr>
        <w:t xml:space="preserve">1. Introducción </w:t>
      </w:r>
    </w:p>
    <w:p w:rsidR="00A05CCB" w:rsidRPr="00F115D3" w:rsidRDefault="00A05CCB" w:rsidP="00A05CCB">
      <w:pPr>
        <w:pStyle w:val="Default"/>
        <w:jc w:val="both"/>
        <w:rPr>
          <w:sz w:val="20"/>
          <w:szCs w:val="20"/>
        </w:rPr>
      </w:pPr>
    </w:p>
    <w:p w:rsidR="00A05CCB" w:rsidRPr="00F115D3" w:rsidRDefault="00A05CCB" w:rsidP="00A05CCB">
      <w:pPr>
        <w:pStyle w:val="Default"/>
        <w:jc w:val="both"/>
        <w:rPr>
          <w:sz w:val="20"/>
          <w:szCs w:val="20"/>
        </w:rPr>
      </w:pPr>
      <w:r w:rsidRPr="00F115D3">
        <w:rPr>
          <w:sz w:val="20"/>
          <w:szCs w:val="20"/>
        </w:rPr>
        <w:t xml:space="preserve">A continuación, se presenta el informe de ejecución presupuestaria correspondiente al período 2017, el cual muestra de forma detallada el comportamiento de los ingresos y egresos por Programa Presupuestario. </w:t>
      </w:r>
    </w:p>
    <w:p w:rsidR="00A05CCB" w:rsidRPr="00F115D3" w:rsidRDefault="00A05CCB" w:rsidP="00A05CCB">
      <w:pPr>
        <w:pStyle w:val="Default"/>
        <w:jc w:val="both"/>
        <w:rPr>
          <w:sz w:val="20"/>
          <w:szCs w:val="20"/>
        </w:rPr>
      </w:pPr>
    </w:p>
    <w:p w:rsidR="00A05CCB" w:rsidRPr="00F115D3" w:rsidRDefault="00A05CCB" w:rsidP="00A05CCB">
      <w:pPr>
        <w:pStyle w:val="Default"/>
        <w:jc w:val="both"/>
        <w:rPr>
          <w:sz w:val="20"/>
          <w:szCs w:val="20"/>
        </w:rPr>
      </w:pPr>
      <w:r w:rsidRPr="00F115D3">
        <w:rPr>
          <w:sz w:val="20"/>
          <w:szCs w:val="20"/>
        </w:rPr>
        <w:t>Dicho documento fue elaborado con base en los informes de Situación de Ingresos y de Egresos los cuales son emitidos por la Unidad de Finanzas –Contabilidad, correspondientes al 31 de diciembre del 2017.</w:t>
      </w:r>
    </w:p>
    <w:p w:rsidR="00A05CCB" w:rsidRPr="00F115D3" w:rsidRDefault="00A05CCB" w:rsidP="00A05CCB">
      <w:pPr>
        <w:pStyle w:val="Default"/>
        <w:jc w:val="both"/>
        <w:rPr>
          <w:sz w:val="20"/>
          <w:szCs w:val="20"/>
        </w:rPr>
      </w:pPr>
    </w:p>
    <w:p w:rsidR="00A05CCB" w:rsidRPr="00F115D3" w:rsidRDefault="00A05CCB" w:rsidP="00A05CCB">
      <w:pPr>
        <w:pStyle w:val="Default"/>
        <w:jc w:val="both"/>
        <w:rPr>
          <w:b/>
          <w:sz w:val="20"/>
          <w:szCs w:val="20"/>
        </w:rPr>
      </w:pPr>
    </w:p>
    <w:p w:rsidR="00A05CCB" w:rsidRPr="00F115D3" w:rsidRDefault="00A05CCB" w:rsidP="00A05CCB">
      <w:pPr>
        <w:pStyle w:val="Default"/>
        <w:jc w:val="both"/>
        <w:rPr>
          <w:b/>
          <w:sz w:val="20"/>
          <w:szCs w:val="20"/>
        </w:rPr>
      </w:pPr>
      <w:r w:rsidRPr="00F115D3">
        <w:rPr>
          <w:b/>
          <w:sz w:val="20"/>
          <w:szCs w:val="20"/>
        </w:rPr>
        <w:t>2. Objetivo</w:t>
      </w: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spacing w:after="0" w:line="240" w:lineRule="auto"/>
        <w:jc w:val="both"/>
        <w:rPr>
          <w:rFonts w:ascii="Arial" w:hAnsi="Arial" w:cs="Arial"/>
          <w:sz w:val="20"/>
          <w:szCs w:val="20"/>
        </w:rPr>
      </w:pPr>
      <w:r w:rsidRPr="00F115D3">
        <w:rPr>
          <w:rFonts w:ascii="Arial" w:hAnsi="Arial" w:cs="Arial"/>
          <w:sz w:val="20"/>
          <w:szCs w:val="20"/>
        </w:rPr>
        <w:t>Presentar un análisis de la ejecución presupuestaria del INVU, al 31 de diciembre del 2017.</w:t>
      </w: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spacing w:after="0" w:line="240" w:lineRule="auto"/>
        <w:jc w:val="both"/>
        <w:rPr>
          <w:rFonts w:ascii="Arial" w:hAnsi="Arial" w:cs="Arial"/>
          <w:b/>
          <w:sz w:val="20"/>
          <w:szCs w:val="20"/>
        </w:rPr>
      </w:pPr>
      <w:r w:rsidRPr="00F115D3">
        <w:rPr>
          <w:rFonts w:ascii="Arial" w:hAnsi="Arial" w:cs="Arial"/>
          <w:b/>
          <w:sz w:val="20"/>
          <w:szCs w:val="20"/>
        </w:rPr>
        <w:t>3. Estructura programática</w:t>
      </w:r>
    </w:p>
    <w:p w:rsidR="00A05CCB" w:rsidRPr="00F115D3" w:rsidRDefault="00A05CCB" w:rsidP="00A05CCB">
      <w:pPr>
        <w:pStyle w:val="Textoindependiente"/>
        <w:spacing w:after="0" w:line="240" w:lineRule="auto"/>
        <w:jc w:val="both"/>
        <w:rPr>
          <w:rFonts w:ascii="Arial" w:hAnsi="Arial" w:cs="Arial"/>
          <w:b/>
          <w:sz w:val="20"/>
          <w:szCs w:val="20"/>
        </w:rPr>
      </w:pPr>
    </w:p>
    <w:p w:rsidR="00A05CCB" w:rsidRPr="00F115D3" w:rsidRDefault="00A05CCB" w:rsidP="00A05CCB">
      <w:pPr>
        <w:pStyle w:val="Textoindependiente"/>
        <w:spacing w:after="0" w:line="240" w:lineRule="auto"/>
        <w:jc w:val="both"/>
        <w:rPr>
          <w:rFonts w:ascii="Arial" w:hAnsi="Arial" w:cs="Arial"/>
          <w:sz w:val="20"/>
          <w:szCs w:val="20"/>
        </w:rPr>
      </w:pPr>
      <w:r w:rsidRPr="00F115D3">
        <w:rPr>
          <w:rFonts w:ascii="Arial" w:hAnsi="Arial" w:cs="Arial"/>
          <w:sz w:val="20"/>
          <w:szCs w:val="20"/>
        </w:rPr>
        <w:t>La estructura programática y el presupuesto 2017 se desglosan como sigue:</w:t>
      </w: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spacing w:after="0" w:line="240" w:lineRule="auto"/>
        <w:jc w:val="both"/>
        <w:rPr>
          <w:rFonts w:ascii="Arial" w:hAnsi="Arial" w:cs="Arial"/>
          <w:b/>
          <w:sz w:val="20"/>
          <w:szCs w:val="20"/>
        </w:rPr>
      </w:pPr>
    </w:p>
    <w:p w:rsidR="00A05CCB" w:rsidRPr="00F115D3" w:rsidRDefault="00A05CCB" w:rsidP="00A05CCB">
      <w:pPr>
        <w:pStyle w:val="Textoindependiente"/>
        <w:spacing w:after="0" w:line="240" w:lineRule="auto"/>
        <w:jc w:val="center"/>
        <w:rPr>
          <w:rFonts w:ascii="Arial" w:hAnsi="Arial" w:cs="Arial"/>
          <w:b/>
          <w:sz w:val="20"/>
          <w:szCs w:val="20"/>
        </w:rPr>
      </w:pPr>
      <w:r w:rsidRPr="00F115D3">
        <w:rPr>
          <w:rFonts w:ascii="Arial" w:hAnsi="Arial" w:cs="Arial"/>
          <w:b/>
          <w:sz w:val="20"/>
          <w:szCs w:val="20"/>
        </w:rPr>
        <w:t>Instituto Nacional de Vivienda y Urbanismo</w:t>
      </w:r>
    </w:p>
    <w:p w:rsidR="00A05CCB" w:rsidRPr="00F115D3" w:rsidRDefault="00A05CCB" w:rsidP="00A05CCB">
      <w:pPr>
        <w:pStyle w:val="Textoindependiente"/>
        <w:spacing w:after="0" w:line="240" w:lineRule="auto"/>
        <w:jc w:val="center"/>
        <w:rPr>
          <w:rFonts w:ascii="Arial" w:hAnsi="Arial" w:cs="Arial"/>
          <w:b/>
          <w:sz w:val="20"/>
          <w:szCs w:val="20"/>
        </w:rPr>
      </w:pPr>
      <w:r w:rsidRPr="00F115D3">
        <w:rPr>
          <w:rFonts w:ascii="Arial" w:hAnsi="Arial" w:cs="Arial"/>
          <w:b/>
          <w:sz w:val="20"/>
          <w:szCs w:val="20"/>
        </w:rPr>
        <w:t>Estructura Programática Presupuestaria</w:t>
      </w:r>
    </w:p>
    <w:p w:rsidR="00A05CCB" w:rsidRPr="00F115D3" w:rsidRDefault="00A05CCB" w:rsidP="00A05CCB">
      <w:pPr>
        <w:pStyle w:val="Textoindependiente"/>
        <w:spacing w:after="0" w:line="240" w:lineRule="auto"/>
        <w:jc w:val="center"/>
        <w:rPr>
          <w:rFonts w:ascii="Arial" w:hAnsi="Arial" w:cs="Arial"/>
          <w:b/>
          <w:sz w:val="20"/>
          <w:szCs w:val="20"/>
        </w:rPr>
      </w:pPr>
      <w:r w:rsidRPr="00F115D3">
        <w:rPr>
          <w:rFonts w:ascii="Arial" w:hAnsi="Arial" w:cs="Arial"/>
          <w:b/>
          <w:sz w:val="20"/>
          <w:szCs w:val="20"/>
        </w:rPr>
        <w:t>Presupuesto por Programa</w:t>
      </w:r>
    </w:p>
    <w:p w:rsidR="00A05CCB" w:rsidRPr="00F115D3" w:rsidRDefault="00A05CCB" w:rsidP="00A05CCB">
      <w:pPr>
        <w:pStyle w:val="Textoindependiente"/>
        <w:spacing w:after="0" w:line="240" w:lineRule="auto"/>
        <w:jc w:val="center"/>
        <w:rPr>
          <w:rFonts w:ascii="Arial" w:hAnsi="Arial" w:cs="Arial"/>
          <w:b/>
          <w:sz w:val="20"/>
          <w:szCs w:val="20"/>
        </w:rPr>
      </w:pPr>
      <w:r w:rsidRPr="00F115D3">
        <w:rPr>
          <w:rFonts w:ascii="Arial" w:hAnsi="Arial" w:cs="Arial"/>
          <w:b/>
          <w:sz w:val="20"/>
          <w:szCs w:val="20"/>
        </w:rPr>
        <w:t>Cuadro No.1</w:t>
      </w:r>
    </w:p>
    <w:p w:rsidR="00A05CCB" w:rsidRPr="00F115D3" w:rsidRDefault="00A05CCB" w:rsidP="00A05CCB">
      <w:pPr>
        <w:pStyle w:val="Textoindependiente"/>
        <w:spacing w:after="0" w:line="240" w:lineRule="auto"/>
        <w:jc w:val="center"/>
        <w:rPr>
          <w:rFonts w:ascii="Arial" w:hAnsi="Arial" w:cs="Arial"/>
          <w:b/>
          <w:sz w:val="20"/>
          <w:szCs w:val="20"/>
        </w:rPr>
      </w:pPr>
      <w:r w:rsidRPr="00F115D3">
        <w:rPr>
          <w:rFonts w:ascii="Arial" w:hAnsi="Arial" w:cs="Arial"/>
          <w:b/>
          <w:sz w:val="20"/>
          <w:szCs w:val="20"/>
        </w:rPr>
        <w:t>Año 2017</w:t>
      </w:r>
    </w:p>
    <w:tbl>
      <w:tblPr>
        <w:tblW w:w="49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0"/>
        <w:gridCol w:w="2643"/>
        <w:gridCol w:w="2243"/>
      </w:tblGrid>
      <w:tr w:rsidR="00A05CCB" w:rsidRPr="00F115D3" w:rsidTr="00BC1A0F">
        <w:trPr>
          <w:trHeight w:val="456"/>
          <w:jc w:val="center"/>
        </w:trPr>
        <w:tc>
          <w:tcPr>
            <w:tcW w:w="2251" w:type="pct"/>
            <w:shd w:val="clear" w:color="auto" w:fill="auto"/>
          </w:tcPr>
          <w:p w:rsidR="00A05CCB" w:rsidRPr="00F115D3" w:rsidRDefault="00A05CCB" w:rsidP="00BC1A0F">
            <w:pPr>
              <w:pStyle w:val="Textoindependiente"/>
              <w:spacing w:after="0" w:line="240" w:lineRule="auto"/>
              <w:jc w:val="center"/>
              <w:rPr>
                <w:rFonts w:ascii="Arial" w:hAnsi="Arial" w:cs="Arial"/>
                <w:b/>
                <w:sz w:val="20"/>
                <w:szCs w:val="20"/>
              </w:rPr>
            </w:pPr>
          </w:p>
          <w:p w:rsidR="00A05CCB" w:rsidRPr="00F115D3" w:rsidRDefault="00A05CCB" w:rsidP="00BC1A0F">
            <w:pPr>
              <w:pStyle w:val="Textoindependiente"/>
              <w:spacing w:after="0" w:line="240" w:lineRule="auto"/>
              <w:jc w:val="center"/>
              <w:rPr>
                <w:rFonts w:ascii="Arial" w:hAnsi="Arial" w:cs="Arial"/>
                <w:b/>
                <w:sz w:val="20"/>
                <w:szCs w:val="20"/>
              </w:rPr>
            </w:pPr>
            <w:r w:rsidRPr="00F115D3">
              <w:rPr>
                <w:rFonts w:ascii="Arial" w:hAnsi="Arial" w:cs="Arial"/>
                <w:b/>
                <w:sz w:val="20"/>
                <w:szCs w:val="20"/>
              </w:rPr>
              <w:t>Programas Presupuestarios</w:t>
            </w:r>
          </w:p>
        </w:tc>
        <w:tc>
          <w:tcPr>
            <w:tcW w:w="1487" w:type="pct"/>
            <w:shd w:val="clear" w:color="auto" w:fill="auto"/>
          </w:tcPr>
          <w:p w:rsidR="00A05CCB" w:rsidRPr="00F115D3" w:rsidRDefault="00A05CCB" w:rsidP="00BC1A0F">
            <w:pPr>
              <w:pStyle w:val="Textoindependiente"/>
              <w:spacing w:after="0" w:line="240" w:lineRule="auto"/>
              <w:jc w:val="center"/>
              <w:rPr>
                <w:rFonts w:ascii="Arial" w:hAnsi="Arial" w:cs="Arial"/>
                <w:b/>
                <w:sz w:val="20"/>
                <w:szCs w:val="20"/>
              </w:rPr>
            </w:pPr>
          </w:p>
          <w:p w:rsidR="00A05CCB" w:rsidRPr="00F115D3" w:rsidRDefault="00A05CCB" w:rsidP="00BC1A0F">
            <w:pPr>
              <w:pStyle w:val="Textoindependiente"/>
              <w:spacing w:after="0" w:line="240" w:lineRule="auto"/>
              <w:jc w:val="center"/>
              <w:rPr>
                <w:rFonts w:ascii="Arial" w:hAnsi="Arial" w:cs="Arial"/>
                <w:b/>
                <w:sz w:val="20"/>
                <w:szCs w:val="20"/>
              </w:rPr>
            </w:pPr>
            <w:r w:rsidRPr="00F115D3">
              <w:rPr>
                <w:rFonts w:ascii="Arial" w:hAnsi="Arial" w:cs="Arial"/>
                <w:b/>
                <w:sz w:val="20"/>
                <w:szCs w:val="20"/>
              </w:rPr>
              <w:t>Total Presupuesto</w:t>
            </w:r>
          </w:p>
        </w:tc>
        <w:tc>
          <w:tcPr>
            <w:tcW w:w="1262" w:type="pct"/>
            <w:shd w:val="clear" w:color="auto" w:fill="auto"/>
          </w:tcPr>
          <w:p w:rsidR="00A05CCB" w:rsidRPr="00F115D3" w:rsidRDefault="00A05CCB" w:rsidP="00BC1A0F">
            <w:pPr>
              <w:pStyle w:val="Textoindependiente"/>
              <w:spacing w:after="0" w:line="240" w:lineRule="auto"/>
              <w:jc w:val="center"/>
              <w:rPr>
                <w:rFonts w:ascii="Arial" w:hAnsi="Arial" w:cs="Arial"/>
                <w:b/>
                <w:sz w:val="20"/>
                <w:szCs w:val="20"/>
              </w:rPr>
            </w:pPr>
          </w:p>
          <w:p w:rsidR="00A05CCB" w:rsidRPr="00F115D3" w:rsidRDefault="00A05CCB" w:rsidP="00BC1A0F">
            <w:pPr>
              <w:pStyle w:val="Textoindependiente"/>
              <w:spacing w:after="0" w:line="240" w:lineRule="auto"/>
              <w:jc w:val="center"/>
              <w:rPr>
                <w:rFonts w:ascii="Arial" w:hAnsi="Arial" w:cs="Arial"/>
                <w:b/>
                <w:sz w:val="20"/>
                <w:szCs w:val="20"/>
              </w:rPr>
            </w:pPr>
            <w:r w:rsidRPr="00F115D3">
              <w:rPr>
                <w:rFonts w:ascii="Arial" w:hAnsi="Arial" w:cs="Arial"/>
                <w:b/>
                <w:sz w:val="20"/>
                <w:szCs w:val="20"/>
              </w:rPr>
              <w:t>Participación %</w:t>
            </w:r>
          </w:p>
        </w:tc>
      </w:tr>
      <w:tr w:rsidR="00A05CCB" w:rsidRPr="00F115D3" w:rsidTr="00BC1A0F">
        <w:trPr>
          <w:trHeight w:val="456"/>
          <w:jc w:val="center"/>
        </w:trPr>
        <w:tc>
          <w:tcPr>
            <w:tcW w:w="2251" w:type="pct"/>
            <w:shd w:val="clear" w:color="auto" w:fill="auto"/>
          </w:tcPr>
          <w:p w:rsidR="00A05CCB" w:rsidRPr="00F115D3" w:rsidRDefault="00A05CCB" w:rsidP="00BC1A0F">
            <w:pPr>
              <w:pStyle w:val="Textoindependiente"/>
              <w:spacing w:after="0" w:line="240" w:lineRule="auto"/>
              <w:jc w:val="both"/>
              <w:rPr>
                <w:rFonts w:ascii="Arial" w:hAnsi="Arial" w:cs="Arial"/>
                <w:sz w:val="20"/>
                <w:szCs w:val="20"/>
              </w:rPr>
            </w:pPr>
          </w:p>
          <w:p w:rsidR="00A05CCB" w:rsidRPr="00F115D3" w:rsidRDefault="00A05CCB" w:rsidP="00BC1A0F">
            <w:pPr>
              <w:pStyle w:val="Textoindependiente"/>
              <w:spacing w:after="0" w:line="240" w:lineRule="auto"/>
              <w:jc w:val="both"/>
              <w:rPr>
                <w:rFonts w:ascii="Arial" w:hAnsi="Arial" w:cs="Arial"/>
                <w:sz w:val="20"/>
                <w:szCs w:val="20"/>
              </w:rPr>
            </w:pPr>
          </w:p>
          <w:p w:rsidR="00A05CCB" w:rsidRPr="00F115D3" w:rsidRDefault="00A05CCB" w:rsidP="00BC1A0F">
            <w:pPr>
              <w:pStyle w:val="Textoindependiente"/>
              <w:spacing w:after="0" w:line="240" w:lineRule="auto"/>
              <w:jc w:val="both"/>
              <w:rPr>
                <w:rFonts w:ascii="Arial" w:hAnsi="Arial" w:cs="Arial"/>
                <w:sz w:val="20"/>
                <w:szCs w:val="20"/>
              </w:rPr>
            </w:pPr>
            <w:r w:rsidRPr="00F115D3">
              <w:rPr>
                <w:rFonts w:ascii="Arial" w:hAnsi="Arial" w:cs="Arial"/>
                <w:sz w:val="20"/>
                <w:szCs w:val="20"/>
              </w:rPr>
              <w:t>Programa No.1 Administración y apoyo</w:t>
            </w:r>
          </w:p>
        </w:tc>
        <w:tc>
          <w:tcPr>
            <w:tcW w:w="1487" w:type="pct"/>
            <w:shd w:val="clear" w:color="auto" w:fill="auto"/>
          </w:tcPr>
          <w:p w:rsidR="00A05CCB" w:rsidRPr="00F115D3" w:rsidRDefault="00A05CCB" w:rsidP="00BC1A0F">
            <w:pPr>
              <w:pStyle w:val="Textoindependiente"/>
              <w:spacing w:after="0" w:line="240" w:lineRule="auto"/>
              <w:jc w:val="both"/>
              <w:rPr>
                <w:rFonts w:ascii="Arial" w:hAnsi="Arial" w:cs="Arial"/>
                <w:b/>
                <w:sz w:val="20"/>
                <w:szCs w:val="20"/>
              </w:rPr>
            </w:pPr>
          </w:p>
          <w:p w:rsidR="00A05CCB" w:rsidRPr="00F115D3" w:rsidRDefault="00A05CCB" w:rsidP="00BC1A0F">
            <w:pPr>
              <w:pStyle w:val="Textoindependiente"/>
              <w:spacing w:after="0" w:line="240" w:lineRule="auto"/>
              <w:jc w:val="both"/>
              <w:rPr>
                <w:rFonts w:ascii="Arial" w:hAnsi="Arial" w:cs="Arial"/>
                <w:b/>
                <w:sz w:val="20"/>
                <w:szCs w:val="20"/>
              </w:rPr>
            </w:pPr>
          </w:p>
          <w:p w:rsidR="00A05CCB" w:rsidRPr="00F115D3" w:rsidRDefault="00A05CCB" w:rsidP="00BC1A0F">
            <w:pPr>
              <w:pStyle w:val="Textoindependiente"/>
              <w:spacing w:after="0" w:line="240" w:lineRule="auto"/>
              <w:jc w:val="both"/>
              <w:rPr>
                <w:rFonts w:ascii="Arial" w:hAnsi="Arial" w:cs="Arial"/>
                <w:b/>
                <w:sz w:val="20"/>
                <w:szCs w:val="20"/>
              </w:rPr>
            </w:pPr>
            <w:r w:rsidRPr="00F115D3">
              <w:rPr>
                <w:rFonts w:ascii="Arial" w:hAnsi="Arial" w:cs="Arial"/>
                <w:b/>
                <w:sz w:val="20"/>
                <w:szCs w:val="20"/>
              </w:rPr>
              <w:t>4.578.676.360</w:t>
            </w:r>
          </w:p>
        </w:tc>
        <w:tc>
          <w:tcPr>
            <w:tcW w:w="1262" w:type="pct"/>
            <w:shd w:val="clear" w:color="auto" w:fill="auto"/>
          </w:tcPr>
          <w:p w:rsidR="00A05CCB" w:rsidRPr="00F115D3" w:rsidRDefault="00A05CCB" w:rsidP="00BC1A0F">
            <w:pPr>
              <w:pStyle w:val="Textoindependiente"/>
              <w:spacing w:after="0" w:line="240" w:lineRule="auto"/>
              <w:jc w:val="center"/>
              <w:rPr>
                <w:rFonts w:ascii="Arial" w:hAnsi="Arial" w:cs="Arial"/>
                <w:b/>
                <w:sz w:val="20"/>
                <w:szCs w:val="20"/>
              </w:rPr>
            </w:pPr>
          </w:p>
          <w:p w:rsidR="00A05CCB" w:rsidRPr="00F115D3" w:rsidRDefault="00A05CCB" w:rsidP="00BC1A0F">
            <w:pPr>
              <w:pStyle w:val="Textoindependiente"/>
              <w:spacing w:after="0" w:line="240" w:lineRule="auto"/>
              <w:jc w:val="center"/>
              <w:rPr>
                <w:rFonts w:ascii="Arial" w:hAnsi="Arial" w:cs="Arial"/>
                <w:b/>
                <w:sz w:val="20"/>
                <w:szCs w:val="20"/>
              </w:rPr>
            </w:pPr>
          </w:p>
          <w:p w:rsidR="00A05CCB" w:rsidRPr="00F115D3" w:rsidRDefault="00A05CCB" w:rsidP="00BC1A0F">
            <w:pPr>
              <w:pStyle w:val="Textoindependiente"/>
              <w:spacing w:after="0" w:line="240" w:lineRule="auto"/>
              <w:jc w:val="center"/>
              <w:rPr>
                <w:rFonts w:ascii="Arial" w:hAnsi="Arial" w:cs="Arial"/>
                <w:b/>
                <w:sz w:val="20"/>
                <w:szCs w:val="20"/>
              </w:rPr>
            </w:pPr>
            <w:r w:rsidRPr="00F115D3">
              <w:rPr>
                <w:rFonts w:ascii="Arial" w:hAnsi="Arial" w:cs="Arial"/>
                <w:b/>
                <w:sz w:val="20"/>
                <w:szCs w:val="20"/>
              </w:rPr>
              <w:t>7%</w:t>
            </w:r>
          </w:p>
        </w:tc>
      </w:tr>
      <w:tr w:rsidR="00A05CCB" w:rsidRPr="00F115D3" w:rsidTr="00BC1A0F">
        <w:trPr>
          <w:trHeight w:val="456"/>
          <w:jc w:val="center"/>
        </w:trPr>
        <w:tc>
          <w:tcPr>
            <w:tcW w:w="2251" w:type="pct"/>
            <w:shd w:val="clear" w:color="auto" w:fill="auto"/>
          </w:tcPr>
          <w:p w:rsidR="00A05CCB" w:rsidRPr="00F115D3" w:rsidRDefault="00A05CCB" w:rsidP="00BC1A0F">
            <w:pPr>
              <w:pStyle w:val="Textoindependiente"/>
              <w:spacing w:after="0" w:line="240" w:lineRule="auto"/>
              <w:jc w:val="both"/>
              <w:rPr>
                <w:rFonts w:ascii="Arial" w:hAnsi="Arial" w:cs="Arial"/>
                <w:sz w:val="20"/>
                <w:szCs w:val="20"/>
              </w:rPr>
            </w:pPr>
          </w:p>
          <w:p w:rsidR="00A05CCB" w:rsidRPr="00F115D3" w:rsidRDefault="00A05CCB" w:rsidP="00BC1A0F">
            <w:pPr>
              <w:pStyle w:val="Textoindependiente"/>
              <w:spacing w:after="0" w:line="240" w:lineRule="auto"/>
              <w:jc w:val="both"/>
              <w:rPr>
                <w:rFonts w:ascii="Arial" w:hAnsi="Arial" w:cs="Arial"/>
                <w:sz w:val="20"/>
                <w:szCs w:val="20"/>
              </w:rPr>
            </w:pPr>
          </w:p>
          <w:p w:rsidR="00A05CCB" w:rsidRPr="00F115D3" w:rsidRDefault="00A05CCB" w:rsidP="00BC1A0F">
            <w:pPr>
              <w:pStyle w:val="Textoindependiente"/>
              <w:spacing w:after="0" w:line="240" w:lineRule="auto"/>
              <w:jc w:val="both"/>
              <w:rPr>
                <w:rFonts w:ascii="Arial" w:hAnsi="Arial" w:cs="Arial"/>
                <w:sz w:val="20"/>
                <w:szCs w:val="20"/>
              </w:rPr>
            </w:pPr>
            <w:r w:rsidRPr="00F115D3">
              <w:rPr>
                <w:rFonts w:ascii="Arial" w:hAnsi="Arial" w:cs="Arial"/>
                <w:sz w:val="20"/>
                <w:szCs w:val="20"/>
              </w:rPr>
              <w:t>Programa No.2 Urbanismo</w:t>
            </w:r>
          </w:p>
        </w:tc>
        <w:tc>
          <w:tcPr>
            <w:tcW w:w="1487" w:type="pct"/>
            <w:shd w:val="clear" w:color="auto" w:fill="auto"/>
          </w:tcPr>
          <w:p w:rsidR="00A05CCB" w:rsidRPr="00F115D3" w:rsidRDefault="00A05CCB" w:rsidP="00BC1A0F">
            <w:pPr>
              <w:pStyle w:val="Textoindependiente"/>
              <w:spacing w:after="0" w:line="240" w:lineRule="auto"/>
              <w:jc w:val="both"/>
              <w:rPr>
                <w:rFonts w:ascii="Arial" w:hAnsi="Arial" w:cs="Arial"/>
                <w:b/>
                <w:sz w:val="20"/>
                <w:szCs w:val="20"/>
              </w:rPr>
            </w:pPr>
          </w:p>
          <w:p w:rsidR="00A05CCB" w:rsidRPr="00F115D3" w:rsidRDefault="00A05CCB" w:rsidP="00BC1A0F">
            <w:pPr>
              <w:pStyle w:val="Textoindependiente"/>
              <w:spacing w:after="0" w:line="240" w:lineRule="auto"/>
              <w:jc w:val="both"/>
              <w:rPr>
                <w:rFonts w:ascii="Arial" w:hAnsi="Arial" w:cs="Arial"/>
                <w:b/>
                <w:sz w:val="20"/>
                <w:szCs w:val="20"/>
              </w:rPr>
            </w:pPr>
          </w:p>
          <w:p w:rsidR="00A05CCB" w:rsidRPr="00F115D3" w:rsidRDefault="00A05CCB" w:rsidP="00BC1A0F">
            <w:pPr>
              <w:pStyle w:val="Textoindependiente"/>
              <w:spacing w:after="0" w:line="240" w:lineRule="auto"/>
              <w:jc w:val="both"/>
              <w:rPr>
                <w:rFonts w:ascii="Arial" w:hAnsi="Arial" w:cs="Arial"/>
                <w:b/>
                <w:sz w:val="20"/>
                <w:szCs w:val="20"/>
              </w:rPr>
            </w:pPr>
            <w:r w:rsidRPr="00F115D3">
              <w:rPr>
                <w:rFonts w:ascii="Arial" w:hAnsi="Arial" w:cs="Arial"/>
                <w:b/>
                <w:sz w:val="20"/>
                <w:szCs w:val="20"/>
              </w:rPr>
              <w:t>1.331.500.621</w:t>
            </w:r>
          </w:p>
        </w:tc>
        <w:tc>
          <w:tcPr>
            <w:tcW w:w="1262" w:type="pct"/>
            <w:shd w:val="clear" w:color="auto" w:fill="auto"/>
          </w:tcPr>
          <w:p w:rsidR="00A05CCB" w:rsidRPr="00F115D3" w:rsidRDefault="00A05CCB" w:rsidP="00BC1A0F">
            <w:pPr>
              <w:pStyle w:val="Textoindependiente"/>
              <w:spacing w:after="0" w:line="240" w:lineRule="auto"/>
              <w:jc w:val="center"/>
              <w:rPr>
                <w:rFonts w:ascii="Arial" w:hAnsi="Arial" w:cs="Arial"/>
                <w:b/>
                <w:sz w:val="20"/>
                <w:szCs w:val="20"/>
              </w:rPr>
            </w:pPr>
          </w:p>
          <w:p w:rsidR="00A05CCB" w:rsidRPr="00F115D3" w:rsidRDefault="00A05CCB" w:rsidP="00BC1A0F">
            <w:pPr>
              <w:pStyle w:val="Textoindependiente"/>
              <w:spacing w:after="0" w:line="240" w:lineRule="auto"/>
              <w:jc w:val="center"/>
              <w:rPr>
                <w:rFonts w:ascii="Arial" w:hAnsi="Arial" w:cs="Arial"/>
                <w:b/>
                <w:sz w:val="20"/>
                <w:szCs w:val="20"/>
              </w:rPr>
            </w:pPr>
          </w:p>
          <w:p w:rsidR="00A05CCB" w:rsidRPr="00F115D3" w:rsidRDefault="00A05CCB" w:rsidP="00BC1A0F">
            <w:pPr>
              <w:pStyle w:val="Textoindependiente"/>
              <w:spacing w:after="0" w:line="240" w:lineRule="auto"/>
              <w:jc w:val="center"/>
              <w:rPr>
                <w:rFonts w:ascii="Arial" w:hAnsi="Arial" w:cs="Arial"/>
                <w:b/>
                <w:sz w:val="20"/>
                <w:szCs w:val="20"/>
              </w:rPr>
            </w:pPr>
            <w:r w:rsidRPr="00F115D3">
              <w:rPr>
                <w:rFonts w:ascii="Arial" w:hAnsi="Arial" w:cs="Arial"/>
                <w:b/>
                <w:sz w:val="20"/>
                <w:szCs w:val="20"/>
              </w:rPr>
              <w:t>2%</w:t>
            </w:r>
          </w:p>
        </w:tc>
      </w:tr>
      <w:tr w:rsidR="00A05CCB" w:rsidRPr="00F115D3" w:rsidTr="00BC1A0F">
        <w:trPr>
          <w:trHeight w:val="456"/>
          <w:jc w:val="center"/>
        </w:trPr>
        <w:tc>
          <w:tcPr>
            <w:tcW w:w="2251" w:type="pct"/>
            <w:shd w:val="clear" w:color="auto" w:fill="auto"/>
          </w:tcPr>
          <w:p w:rsidR="00A05CCB" w:rsidRPr="00F115D3" w:rsidRDefault="00A05CCB" w:rsidP="00BC1A0F">
            <w:pPr>
              <w:pStyle w:val="Textoindependiente"/>
              <w:spacing w:after="0" w:line="240" w:lineRule="auto"/>
              <w:jc w:val="both"/>
              <w:rPr>
                <w:rFonts w:ascii="Arial" w:hAnsi="Arial" w:cs="Arial"/>
                <w:sz w:val="20"/>
                <w:szCs w:val="20"/>
              </w:rPr>
            </w:pPr>
          </w:p>
          <w:p w:rsidR="00A05CCB" w:rsidRPr="00F115D3" w:rsidRDefault="00A05CCB" w:rsidP="00BC1A0F">
            <w:pPr>
              <w:pStyle w:val="Textoindependiente"/>
              <w:spacing w:after="0" w:line="240" w:lineRule="auto"/>
              <w:jc w:val="both"/>
              <w:rPr>
                <w:rFonts w:ascii="Arial" w:hAnsi="Arial" w:cs="Arial"/>
                <w:sz w:val="20"/>
                <w:szCs w:val="20"/>
              </w:rPr>
            </w:pPr>
          </w:p>
          <w:p w:rsidR="00A05CCB" w:rsidRPr="00F115D3" w:rsidRDefault="00A05CCB" w:rsidP="00BC1A0F">
            <w:pPr>
              <w:pStyle w:val="Textoindependiente"/>
              <w:spacing w:after="0" w:line="240" w:lineRule="auto"/>
              <w:jc w:val="both"/>
              <w:rPr>
                <w:rFonts w:ascii="Arial" w:hAnsi="Arial" w:cs="Arial"/>
                <w:sz w:val="20"/>
                <w:szCs w:val="20"/>
              </w:rPr>
            </w:pPr>
            <w:r w:rsidRPr="00F115D3">
              <w:rPr>
                <w:rFonts w:ascii="Arial" w:hAnsi="Arial" w:cs="Arial"/>
                <w:sz w:val="20"/>
                <w:szCs w:val="20"/>
              </w:rPr>
              <w:t>Programa No.3 Programas Habitacionales</w:t>
            </w:r>
          </w:p>
        </w:tc>
        <w:tc>
          <w:tcPr>
            <w:tcW w:w="1487" w:type="pct"/>
            <w:shd w:val="clear" w:color="auto" w:fill="auto"/>
          </w:tcPr>
          <w:p w:rsidR="00A05CCB" w:rsidRPr="00F115D3" w:rsidRDefault="00A05CCB" w:rsidP="00BC1A0F">
            <w:pPr>
              <w:pStyle w:val="Textoindependiente"/>
              <w:spacing w:after="0" w:line="240" w:lineRule="auto"/>
              <w:jc w:val="both"/>
              <w:rPr>
                <w:rFonts w:ascii="Arial" w:hAnsi="Arial" w:cs="Arial"/>
                <w:b/>
                <w:sz w:val="20"/>
                <w:szCs w:val="20"/>
              </w:rPr>
            </w:pPr>
          </w:p>
          <w:p w:rsidR="00A05CCB" w:rsidRPr="00F115D3" w:rsidRDefault="00A05CCB" w:rsidP="00BC1A0F">
            <w:pPr>
              <w:pStyle w:val="Textoindependiente"/>
              <w:spacing w:after="0" w:line="240" w:lineRule="auto"/>
              <w:jc w:val="both"/>
              <w:rPr>
                <w:rFonts w:ascii="Arial" w:hAnsi="Arial" w:cs="Arial"/>
                <w:b/>
                <w:sz w:val="20"/>
                <w:szCs w:val="20"/>
              </w:rPr>
            </w:pPr>
          </w:p>
          <w:p w:rsidR="00A05CCB" w:rsidRPr="00F115D3" w:rsidRDefault="00A05CCB" w:rsidP="00BC1A0F">
            <w:pPr>
              <w:pStyle w:val="Textoindependiente"/>
              <w:spacing w:after="0" w:line="240" w:lineRule="auto"/>
              <w:jc w:val="both"/>
              <w:rPr>
                <w:rFonts w:ascii="Arial" w:hAnsi="Arial" w:cs="Arial"/>
                <w:b/>
                <w:sz w:val="20"/>
                <w:szCs w:val="20"/>
              </w:rPr>
            </w:pPr>
            <w:r w:rsidRPr="00F115D3">
              <w:rPr>
                <w:rFonts w:ascii="Arial" w:hAnsi="Arial" w:cs="Arial"/>
                <w:b/>
                <w:sz w:val="20"/>
                <w:szCs w:val="20"/>
              </w:rPr>
              <w:t>6.199.097.168.19</w:t>
            </w:r>
          </w:p>
        </w:tc>
        <w:tc>
          <w:tcPr>
            <w:tcW w:w="1262" w:type="pct"/>
            <w:shd w:val="clear" w:color="auto" w:fill="auto"/>
          </w:tcPr>
          <w:p w:rsidR="00A05CCB" w:rsidRPr="00F115D3" w:rsidRDefault="00A05CCB" w:rsidP="00BC1A0F">
            <w:pPr>
              <w:pStyle w:val="Textoindependiente"/>
              <w:spacing w:after="0" w:line="240" w:lineRule="auto"/>
              <w:jc w:val="center"/>
              <w:rPr>
                <w:rFonts w:ascii="Arial" w:hAnsi="Arial" w:cs="Arial"/>
                <w:b/>
                <w:sz w:val="20"/>
                <w:szCs w:val="20"/>
              </w:rPr>
            </w:pPr>
          </w:p>
          <w:p w:rsidR="00A05CCB" w:rsidRPr="00F115D3" w:rsidRDefault="00A05CCB" w:rsidP="00BC1A0F">
            <w:pPr>
              <w:pStyle w:val="Textoindependiente"/>
              <w:spacing w:after="0" w:line="240" w:lineRule="auto"/>
              <w:jc w:val="center"/>
              <w:rPr>
                <w:rFonts w:ascii="Arial" w:hAnsi="Arial" w:cs="Arial"/>
                <w:b/>
                <w:sz w:val="20"/>
                <w:szCs w:val="20"/>
              </w:rPr>
            </w:pPr>
          </w:p>
          <w:p w:rsidR="00A05CCB" w:rsidRPr="00F115D3" w:rsidRDefault="00A05CCB" w:rsidP="00BC1A0F">
            <w:pPr>
              <w:pStyle w:val="Textoindependiente"/>
              <w:spacing w:after="0" w:line="240" w:lineRule="auto"/>
              <w:jc w:val="center"/>
              <w:rPr>
                <w:rFonts w:ascii="Arial" w:hAnsi="Arial" w:cs="Arial"/>
                <w:b/>
                <w:sz w:val="20"/>
                <w:szCs w:val="20"/>
              </w:rPr>
            </w:pPr>
            <w:r w:rsidRPr="00F115D3">
              <w:rPr>
                <w:rFonts w:ascii="Arial" w:hAnsi="Arial" w:cs="Arial"/>
                <w:b/>
                <w:sz w:val="20"/>
                <w:szCs w:val="20"/>
              </w:rPr>
              <w:t>9%</w:t>
            </w:r>
          </w:p>
        </w:tc>
      </w:tr>
      <w:tr w:rsidR="00A05CCB" w:rsidRPr="00F115D3" w:rsidTr="00BC1A0F">
        <w:trPr>
          <w:trHeight w:val="456"/>
          <w:jc w:val="center"/>
        </w:trPr>
        <w:tc>
          <w:tcPr>
            <w:tcW w:w="2251" w:type="pct"/>
            <w:shd w:val="clear" w:color="auto" w:fill="auto"/>
          </w:tcPr>
          <w:p w:rsidR="00A05CCB" w:rsidRPr="00F115D3" w:rsidRDefault="00A05CCB" w:rsidP="00BC1A0F">
            <w:pPr>
              <w:pStyle w:val="Textoindependiente"/>
              <w:spacing w:after="0" w:line="240" w:lineRule="auto"/>
              <w:jc w:val="both"/>
              <w:rPr>
                <w:rFonts w:ascii="Arial" w:hAnsi="Arial" w:cs="Arial"/>
                <w:sz w:val="20"/>
                <w:szCs w:val="20"/>
              </w:rPr>
            </w:pPr>
          </w:p>
          <w:p w:rsidR="00A05CCB" w:rsidRPr="00F115D3" w:rsidRDefault="00A05CCB" w:rsidP="00BC1A0F">
            <w:pPr>
              <w:pStyle w:val="Textoindependiente"/>
              <w:spacing w:after="0" w:line="240" w:lineRule="auto"/>
              <w:jc w:val="both"/>
              <w:rPr>
                <w:rFonts w:ascii="Arial" w:hAnsi="Arial" w:cs="Arial"/>
                <w:sz w:val="20"/>
                <w:szCs w:val="20"/>
              </w:rPr>
            </w:pPr>
            <w:r w:rsidRPr="00F115D3">
              <w:rPr>
                <w:rFonts w:ascii="Arial" w:hAnsi="Arial" w:cs="Arial"/>
                <w:sz w:val="20"/>
                <w:szCs w:val="20"/>
              </w:rPr>
              <w:t>Programa No.4 Gestión de Programas de Financiamiento</w:t>
            </w:r>
          </w:p>
        </w:tc>
        <w:tc>
          <w:tcPr>
            <w:tcW w:w="1487" w:type="pct"/>
            <w:shd w:val="clear" w:color="auto" w:fill="auto"/>
          </w:tcPr>
          <w:p w:rsidR="00A05CCB" w:rsidRPr="00F115D3" w:rsidRDefault="00A05CCB" w:rsidP="00BC1A0F">
            <w:pPr>
              <w:pStyle w:val="Textoindependiente"/>
              <w:spacing w:after="0" w:line="240" w:lineRule="auto"/>
              <w:jc w:val="both"/>
              <w:rPr>
                <w:rFonts w:ascii="Arial" w:hAnsi="Arial" w:cs="Arial"/>
                <w:b/>
                <w:sz w:val="20"/>
                <w:szCs w:val="20"/>
              </w:rPr>
            </w:pPr>
          </w:p>
          <w:p w:rsidR="00A05CCB" w:rsidRPr="00F115D3" w:rsidRDefault="00A05CCB" w:rsidP="00BC1A0F">
            <w:pPr>
              <w:pStyle w:val="Textoindependiente"/>
              <w:spacing w:after="0" w:line="240" w:lineRule="auto"/>
              <w:jc w:val="both"/>
              <w:rPr>
                <w:rFonts w:ascii="Arial" w:hAnsi="Arial" w:cs="Arial"/>
                <w:b/>
                <w:sz w:val="20"/>
                <w:szCs w:val="20"/>
              </w:rPr>
            </w:pPr>
          </w:p>
          <w:p w:rsidR="00A05CCB" w:rsidRPr="00F115D3" w:rsidRDefault="00A05CCB" w:rsidP="00BC1A0F">
            <w:pPr>
              <w:pStyle w:val="Textoindependiente"/>
              <w:spacing w:after="0" w:line="240" w:lineRule="auto"/>
              <w:jc w:val="both"/>
              <w:rPr>
                <w:rFonts w:ascii="Arial" w:hAnsi="Arial" w:cs="Arial"/>
                <w:b/>
                <w:sz w:val="20"/>
                <w:szCs w:val="20"/>
              </w:rPr>
            </w:pPr>
            <w:r w:rsidRPr="00F115D3">
              <w:rPr>
                <w:rFonts w:ascii="Arial" w:hAnsi="Arial" w:cs="Arial"/>
                <w:b/>
                <w:sz w:val="20"/>
                <w:szCs w:val="20"/>
              </w:rPr>
              <w:t>55.519.921.132.35</w:t>
            </w:r>
          </w:p>
        </w:tc>
        <w:tc>
          <w:tcPr>
            <w:tcW w:w="1262" w:type="pct"/>
            <w:shd w:val="clear" w:color="auto" w:fill="auto"/>
          </w:tcPr>
          <w:p w:rsidR="00A05CCB" w:rsidRPr="00F115D3" w:rsidRDefault="00A05CCB" w:rsidP="00BC1A0F">
            <w:pPr>
              <w:pStyle w:val="Textoindependiente"/>
              <w:spacing w:after="0" w:line="240" w:lineRule="auto"/>
              <w:jc w:val="center"/>
              <w:rPr>
                <w:rFonts w:ascii="Arial" w:hAnsi="Arial" w:cs="Arial"/>
                <w:b/>
                <w:sz w:val="20"/>
                <w:szCs w:val="20"/>
              </w:rPr>
            </w:pPr>
          </w:p>
          <w:p w:rsidR="00A05CCB" w:rsidRPr="00F115D3" w:rsidRDefault="00A05CCB" w:rsidP="00BC1A0F">
            <w:pPr>
              <w:pStyle w:val="Textoindependiente"/>
              <w:spacing w:after="0" w:line="240" w:lineRule="auto"/>
              <w:jc w:val="center"/>
              <w:rPr>
                <w:rFonts w:ascii="Arial" w:hAnsi="Arial" w:cs="Arial"/>
                <w:b/>
                <w:sz w:val="20"/>
                <w:szCs w:val="20"/>
              </w:rPr>
            </w:pPr>
          </w:p>
          <w:p w:rsidR="00A05CCB" w:rsidRPr="00F115D3" w:rsidRDefault="00A05CCB" w:rsidP="00BC1A0F">
            <w:pPr>
              <w:pStyle w:val="Textoindependiente"/>
              <w:spacing w:after="0" w:line="240" w:lineRule="auto"/>
              <w:jc w:val="center"/>
              <w:rPr>
                <w:rFonts w:ascii="Arial" w:hAnsi="Arial" w:cs="Arial"/>
                <w:b/>
                <w:sz w:val="20"/>
                <w:szCs w:val="20"/>
              </w:rPr>
            </w:pPr>
            <w:r w:rsidRPr="00F115D3">
              <w:rPr>
                <w:rFonts w:ascii="Arial" w:hAnsi="Arial" w:cs="Arial"/>
                <w:b/>
                <w:sz w:val="20"/>
                <w:szCs w:val="20"/>
              </w:rPr>
              <w:t>82%</w:t>
            </w:r>
          </w:p>
        </w:tc>
      </w:tr>
      <w:tr w:rsidR="00A05CCB" w:rsidRPr="00F115D3" w:rsidTr="00BC1A0F">
        <w:trPr>
          <w:trHeight w:val="456"/>
          <w:jc w:val="center"/>
        </w:trPr>
        <w:tc>
          <w:tcPr>
            <w:tcW w:w="2251" w:type="pct"/>
            <w:shd w:val="clear" w:color="auto" w:fill="auto"/>
          </w:tcPr>
          <w:p w:rsidR="00A05CCB" w:rsidRPr="00F115D3" w:rsidRDefault="00A05CCB" w:rsidP="00BC1A0F">
            <w:pPr>
              <w:pStyle w:val="Textoindependiente"/>
              <w:spacing w:after="0" w:line="240" w:lineRule="auto"/>
              <w:jc w:val="both"/>
              <w:rPr>
                <w:rFonts w:ascii="Arial" w:hAnsi="Arial" w:cs="Arial"/>
                <w:b/>
                <w:sz w:val="20"/>
                <w:szCs w:val="20"/>
              </w:rPr>
            </w:pPr>
          </w:p>
          <w:p w:rsidR="00A05CCB" w:rsidRPr="00F115D3" w:rsidRDefault="00A05CCB" w:rsidP="00BC1A0F">
            <w:pPr>
              <w:pStyle w:val="Textoindependiente"/>
              <w:spacing w:after="0" w:line="240" w:lineRule="auto"/>
              <w:jc w:val="both"/>
              <w:rPr>
                <w:rFonts w:ascii="Arial" w:hAnsi="Arial" w:cs="Arial"/>
                <w:b/>
                <w:sz w:val="20"/>
                <w:szCs w:val="20"/>
              </w:rPr>
            </w:pPr>
            <w:r w:rsidRPr="00F115D3">
              <w:rPr>
                <w:rFonts w:ascii="Arial" w:hAnsi="Arial" w:cs="Arial"/>
                <w:b/>
                <w:sz w:val="20"/>
                <w:szCs w:val="20"/>
              </w:rPr>
              <w:t>Total Presupuesto</w:t>
            </w:r>
          </w:p>
        </w:tc>
        <w:tc>
          <w:tcPr>
            <w:tcW w:w="1487" w:type="pct"/>
            <w:shd w:val="clear" w:color="auto" w:fill="auto"/>
          </w:tcPr>
          <w:p w:rsidR="00A05CCB" w:rsidRPr="00F115D3" w:rsidRDefault="00A05CCB" w:rsidP="00BC1A0F">
            <w:pPr>
              <w:pStyle w:val="Textoindependiente"/>
              <w:spacing w:after="0" w:line="240" w:lineRule="auto"/>
              <w:jc w:val="both"/>
              <w:rPr>
                <w:rFonts w:ascii="Arial" w:hAnsi="Arial" w:cs="Arial"/>
                <w:b/>
                <w:sz w:val="20"/>
                <w:szCs w:val="20"/>
              </w:rPr>
            </w:pPr>
          </w:p>
          <w:p w:rsidR="00A05CCB" w:rsidRPr="00F115D3" w:rsidRDefault="00A05CCB" w:rsidP="00BC1A0F">
            <w:pPr>
              <w:pStyle w:val="Textoindependiente"/>
              <w:spacing w:after="0" w:line="240" w:lineRule="auto"/>
              <w:jc w:val="both"/>
              <w:rPr>
                <w:rFonts w:ascii="Arial" w:hAnsi="Arial" w:cs="Arial"/>
                <w:b/>
                <w:sz w:val="20"/>
                <w:szCs w:val="20"/>
              </w:rPr>
            </w:pPr>
            <w:r w:rsidRPr="00F115D3">
              <w:rPr>
                <w:rFonts w:ascii="Arial" w:hAnsi="Arial" w:cs="Arial"/>
                <w:b/>
                <w:sz w:val="20"/>
                <w:szCs w:val="20"/>
              </w:rPr>
              <w:t>67.629.195.281.54</w:t>
            </w:r>
          </w:p>
          <w:p w:rsidR="00A05CCB" w:rsidRPr="00F115D3" w:rsidRDefault="00A05CCB" w:rsidP="00BC1A0F">
            <w:pPr>
              <w:pStyle w:val="Textoindependiente"/>
              <w:spacing w:after="0" w:line="240" w:lineRule="auto"/>
              <w:jc w:val="both"/>
              <w:rPr>
                <w:rFonts w:ascii="Arial" w:hAnsi="Arial" w:cs="Arial"/>
                <w:b/>
                <w:sz w:val="20"/>
                <w:szCs w:val="20"/>
              </w:rPr>
            </w:pPr>
          </w:p>
        </w:tc>
        <w:tc>
          <w:tcPr>
            <w:tcW w:w="1262" w:type="pct"/>
            <w:shd w:val="clear" w:color="auto" w:fill="auto"/>
          </w:tcPr>
          <w:p w:rsidR="00A05CCB" w:rsidRPr="00F115D3" w:rsidRDefault="00A05CCB" w:rsidP="00BC1A0F">
            <w:pPr>
              <w:pStyle w:val="Textoindependiente"/>
              <w:spacing w:after="0" w:line="240" w:lineRule="auto"/>
              <w:jc w:val="center"/>
              <w:rPr>
                <w:rFonts w:ascii="Arial" w:hAnsi="Arial" w:cs="Arial"/>
                <w:b/>
                <w:sz w:val="20"/>
                <w:szCs w:val="20"/>
              </w:rPr>
            </w:pPr>
          </w:p>
          <w:p w:rsidR="00A05CCB" w:rsidRPr="00F115D3" w:rsidRDefault="00A05CCB" w:rsidP="00BC1A0F">
            <w:pPr>
              <w:pStyle w:val="Textoindependiente"/>
              <w:spacing w:after="0" w:line="240" w:lineRule="auto"/>
              <w:jc w:val="center"/>
              <w:rPr>
                <w:rFonts w:ascii="Arial" w:hAnsi="Arial" w:cs="Arial"/>
                <w:b/>
                <w:sz w:val="20"/>
                <w:szCs w:val="20"/>
              </w:rPr>
            </w:pPr>
            <w:r w:rsidRPr="00F115D3">
              <w:rPr>
                <w:rFonts w:ascii="Arial" w:hAnsi="Arial" w:cs="Arial"/>
                <w:b/>
                <w:sz w:val="20"/>
                <w:szCs w:val="20"/>
              </w:rPr>
              <w:t>100%</w:t>
            </w:r>
          </w:p>
        </w:tc>
      </w:tr>
    </w:tbl>
    <w:p w:rsidR="00A05CCB" w:rsidRPr="006A7C95" w:rsidRDefault="00A05CCB" w:rsidP="00A05CCB">
      <w:pPr>
        <w:pStyle w:val="Textoindependiente"/>
        <w:spacing w:after="0" w:line="240" w:lineRule="auto"/>
        <w:jc w:val="both"/>
        <w:rPr>
          <w:rFonts w:ascii="Arial" w:hAnsi="Arial" w:cs="Arial"/>
          <w:sz w:val="18"/>
          <w:szCs w:val="18"/>
        </w:rPr>
      </w:pPr>
      <w:r w:rsidRPr="006A7C95">
        <w:rPr>
          <w:rFonts w:ascii="Arial" w:hAnsi="Arial" w:cs="Arial"/>
          <w:sz w:val="18"/>
          <w:szCs w:val="18"/>
        </w:rPr>
        <w:t xml:space="preserve">  Fuente: Planificación</w:t>
      </w:r>
    </w:p>
    <w:p w:rsidR="00A05CCB" w:rsidRPr="00F115D3" w:rsidRDefault="00A05CCB" w:rsidP="00A05CCB">
      <w:pPr>
        <w:pStyle w:val="Textoindependiente"/>
        <w:spacing w:after="0" w:line="240" w:lineRule="auto"/>
        <w:jc w:val="both"/>
        <w:rPr>
          <w:rFonts w:ascii="Arial" w:hAnsi="Arial" w:cs="Arial"/>
          <w:b/>
          <w:sz w:val="20"/>
          <w:szCs w:val="20"/>
        </w:rPr>
      </w:pPr>
    </w:p>
    <w:p w:rsidR="00A05CCB" w:rsidRPr="00F115D3" w:rsidRDefault="00A05CCB" w:rsidP="00A05CCB">
      <w:pPr>
        <w:pStyle w:val="Textoindependiente"/>
        <w:spacing w:after="0" w:line="240" w:lineRule="auto"/>
        <w:jc w:val="both"/>
        <w:rPr>
          <w:rFonts w:ascii="Arial" w:hAnsi="Arial" w:cs="Arial"/>
          <w:b/>
          <w:sz w:val="20"/>
          <w:szCs w:val="20"/>
        </w:rPr>
      </w:pPr>
    </w:p>
    <w:p w:rsidR="00A05CCB" w:rsidRPr="00F115D3" w:rsidRDefault="00A05CCB" w:rsidP="00A05CCB">
      <w:pPr>
        <w:pStyle w:val="Textoindependiente"/>
        <w:spacing w:after="0" w:line="240" w:lineRule="auto"/>
        <w:jc w:val="both"/>
        <w:rPr>
          <w:rFonts w:ascii="Arial" w:hAnsi="Arial" w:cs="Arial"/>
          <w:sz w:val="20"/>
          <w:szCs w:val="20"/>
        </w:rPr>
      </w:pPr>
      <w:r w:rsidRPr="00F115D3">
        <w:rPr>
          <w:rFonts w:ascii="Arial" w:hAnsi="Arial" w:cs="Arial"/>
          <w:sz w:val="20"/>
          <w:szCs w:val="20"/>
        </w:rPr>
        <w:t xml:space="preserve">Como se puede observar en el cuadro No.1, la estructura presupuestaria de la Institución cuenta, con un programa de apoyo y tres programas sustantivos, dentro de estos últimos el Programa No.4 “Programas de Financiamiento” representa un </w:t>
      </w:r>
      <w:r w:rsidRPr="00F115D3">
        <w:rPr>
          <w:rFonts w:ascii="Arial" w:hAnsi="Arial" w:cs="Arial"/>
          <w:color w:val="000000"/>
          <w:sz w:val="20"/>
          <w:szCs w:val="20"/>
        </w:rPr>
        <w:t>82%</w:t>
      </w:r>
      <w:r w:rsidRPr="00F115D3">
        <w:rPr>
          <w:rFonts w:ascii="Arial" w:hAnsi="Arial" w:cs="Arial"/>
          <w:sz w:val="20"/>
          <w:szCs w:val="20"/>
        </w:rPr>
        <w:t xml:space="preserve"> del total del Presupuesto del 2017, es mediante </w:t>
      </w:r>
      <w:r w:rsidRPr="00F115D3">
        <w:rPr>
          <w:rFonts w:ascii="Arial" w:hAnsi="Arial" w:cs="Arial"/>
          <w:sz w:val="20"/>
          <w:szCs w:val="20"/>
        </w:rPr>
        <w:lastRenderedPageBreak/>
        <w:t>este programa que se ofrecen la mayor cantidad de productos de la Institución (contratos, créditos, bono).</w:t>
      </w: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spacing w:after="0" w:line="240" w:lineRule="auto"/>
        <w:jc w:val="both"/>
        <w:rPr>
          <w:rFonts w:ascii="Arial" w:hAnsi="Arial" w:cs="Arial"/>
          <w:sz w:val="20"/>
          <w:szCs w:val="20"/>
        </w:rPr>
      </w:pPr>
      <w:r w:rsidRPr="00F115D3">
        <w:rPr>
          <w:rFonts w:ascii="Arial" w:hAnsi="Arial" w:cs="Arial"/>
          <w:sz w:val="20"/>
          <w:szCs w:val="20"/>
        </w:rPr>
        <w:t>El programa No.4 se subdivide en dos subprogramas:</w:t>
      </w: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numPr>
          <w:ilvl w:val="0"/>
          <w:numId w:val="21"/>
        </w:numPr>
        <w:spacing w:after="0" w:line="240" w:lineRule="auto"/>
        <w:ind w:left="0" w:firstLine="0"/>
        <w:jc w:val="both"/>
        <w:rPr>
          <w:rFonts w:ascii="Arial" w:hAnsi="Arial" w:cs="Arial"/>
          <w:sz w:val="20"/>
          <w:szCs w:val="20"/>
        </w:rPr>
      </w:pPr>
      <w:r w:rsidRPr="00F115D3">
        <w:rPr>
          <w:rFonts w:ascii="Arial" w:hAnsi="Arial" w:cs="Arial"/>
          <w:sz w:val="20"/>
          <w:szCs w:val="20"/>
        </w:rPr>
        <w:t>Subprograma 4.1 “Gestión de Productos del Sistema de Ahorro y Préstamo”</w:t>
      </w:r>
    </w:p>
    <w:p w:rsidR="00A05CCB" w:rsidRPr="00F115D3" w:rsidRDefault="00A05CCB" w:rsidP="00A05CCB">
      <w:pPr>
        <w:pStyle w:val="Textoindependiente"/>
        <w:numPr>
          <w:ilvl w:val="0"/>
          <w:numId w:val="21"/>
        </w:numPr>
        <w:spacing w:after="0" w:line="240" w:lineRule="auto"/>
        <w:ind w:left="0" w:firstLine="0"/>
        <w:jc w:val="both"/>
        <w:rPr>
          <w:rFonts w:ascii="Arial" w:hAnsi="Arial" w:cs="Arial"/>
          <w:sz w:val="20"/>
          <w:szCs w:val="20"/>
        </w:rPr>
      </w:pPr>
      <w:r w:rsidRPr="00F115D3">
        <w:rPr>
          <w:rFonts w:ascii="Arial" w:hAnsi="Arial" w:cs="Arial"/>
          <w:sz w:val="20"/>
          <w:szCs w:val="20"/>
        </w:rPr>
        <w:t>Subprograma 4.2 “Gestión de Productos con diversas Fuentes de Financiamiento”</w:t>
      </w: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spacing w:after="0" w:line="240" w:lineRule="auto"/>
        <w:jc w:val="both"/>
        <w:rPr>
          <w:rFonts w:ascii="Arial" w:hAnsi="Arial" w:cs="Arial"/>
          <w:b/>
          <w:sz w:val="20"/>
          <w:szCs w:val="20"/>
        </w:rPr>
      </w:pPr>
    </w:p>
    <w:p w:rsidR="00A05CCB" w:rsidRPr="00F115D3" w:rsidRDefault="00A05CCB" w:rsidP="00A05CCB">
      <w:pPr>
        <w:pStyle w:val="Textoindependiente"/>
        <w:spacing w:after="0" w:line="240" w:lineRule="auto"/>
        <w:jc w:val="both"/>
        <w:rPr>
          <w:rFonts w:ascii="Arial" w:hAnsi="Arial" w:cs="Arial"/>
          <w:b/>
          <w:sz w:val="20"/>
          <w:szCs w:val="20"/>
        </w:rPr>
      </w:pPr>
      <w:r w:rsidRPr="00F115D3">
        <w:rPr>
          <w:rFonts w:ascii="Arial" w:hAnsi="Arial" w:cs="Arial"/>
          <w:b/>
          <w:sz w:val="20"/>
          <w:szCs w:val="20"/>
        </w:rPr>
        <w:t>4. Análisis Presupuestario de Ingresos</w:t>
      </w:r>
    </w:p>
    <w:p w:rsidR="00A05CCB" w:rsidRPr="00F115D3" w:rsidRDefault="00A05CCB" w:rsidP="00A05CCB">
      <w:pPr>
        <w:pStyle w:val="Textoindependiente"/>
        <w:spacing w:after="0" w:line="240" w:lineRule="auto"/>
        <w:jc w:val="both"/>
        <w:rPr>
          <w:rFonts w:ascii="Arial" w:hAnsi="Arial" w:cs="Arial"/>
          <w:b/>
          <w:sz w:val="20"/>
          <w:szCs w:val="20"/>
        </w:rPr>
      </w:pPr>
    </w:p>
    <w:p w:rsidR="00A05CCB" w:rsidRPr="00F115D3" w:rsidRDefault="00A05CCB" w:rsidP="00A05CCB">
      <w:pPr>
        <w:pStyle w:val="Textoindependiente"/>
        <w:spacing w:after="0" w:line="240" w:lineRule="auto"/>
        <w:jc w:val="both"/>
        <w:rPr>
          <w:rFonts w:ascii="Arial" w:hAnsi="Arial" w:cs="Arial"/>
          <w:sz w:val="20"/>
          <w:szCs w:val="20"/>
        </w:rPr>
      </w:pPr>
      <w:r w:rsidRPr="00F115D3">
        <w:rPr>
          <w:rFonts w:ascii="Arial" w:hAnsi="Arial" w:cs="Arial"/>
          <w:sz w:val="20"/>
          <w:szCs w:val="20"/>
        </w:rPr>
        <w:t>En este apartado se analizarán los ingresos presupuestados en el periodo 2017, su comportamiento y ejecución.</w:t>
      </w: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spacing w:after="0" w:line="240" w:lineRule="auto"/>
        <w:jc w:val="both"/>
        <w:rPr>
          <w:rFonts w:ascii="Arial" w:hAnsi="Arial" w:cs="Arial"/>
          <w:b/>
          <w:sz w:val="20"/>
          <w:szCs w:val="20"/>
        </w:rPr>
      </w:pPr>
      <w:r w:rsidRPr="00F115D3">
        <w:rPr>
          <w:rFonts w:ascii="Arial" w:hAnsi="Arial" w:cs="Arial"/>
          <w:b/>
          <w:sz w:val="20"/>
          <w:szCs w:val="20"/>
        </w:rPr>
        <w:t>4.1 Ingresos totales:</w:t>
      </w: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spacing w:after="0" w:line="240" w:lineRule="auto"/>
        <w:jc w:val="both"/>
        <w:rPr>
          <w:rFonts w:ascii="Arial" w:hAnsi="Arial" w:cs="Arial"/>
          <w:sz w:val="20"/>
          <w:szCs w:val="20"/>
        </w:rPr>
      </w:pPr>
      <w:r w:rsidRPr="00F115D3">
        <w:rPr>
          <w:rFonts w:ascii="Arial" w:hAnsi="Arial" w:cs="Arial"/>
          <w:sz w:val="20"/>
          <w:szCs w:val="20"/>
        </w:rPr>
        <w:t>El monto presupuestado de Ingresos y sus modificaciones para el período 2017, fue por un monto de ¢67.629.195.281.54, distribuidos como sigue:</w:t>
      </w: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spacing w:after="0" w:line="240" w:lineRule="auto"/>
        <w:jc w:val="center"/>
        <w:rPr>
          <w:rFonts w:ascii="Arial" w:hAnsi="Arial" w:cs="Arial"/>
          <w:b/>
          <w:sz w:val="20"/>
          <w:szCs w:val="20"/>
        </w:rPr>
      </w:pPr>
      <w:r w:rsidRPr="00F115D3">
        <w:rPr>
          <w:rFonts w:ascii="Arial" w:hAnsi="Arial" w:cs="Arial"/>
          <w:b/>
          <w:sz w:val="20"/>
          <w:szCs w:val="20"/>
        </w:rPr>
        <w:t>Instituto Nacional de Vivienda y Urbanismo</w:t>
      </w:r>
    </w:p>
    <w:p w:rsidR="00A05CCB" w:rsidRPr="00F115D3" w:rsidRDefault="00A05CCB" w:rsidP="00A05CCB">
      <w:pPr>
        <w:pStyle w:val="Textoindependiente"/>
        <w:spacing w:after="0" w:line="240" w:lineRule="auto"/>
        <w:jc w:val="center"/>
        <w:rPr>
          <w:rFonts w:ascii="Arial" w:hAnsi="Arial" w:cs="Arial"/>
          <w:b/>
          <w:sz w:val="20"/>
          <w:szCs w:val="20"/>
        </w:rPr>
      </w:pPr>
      <w:r w:rsidRPr="00F115D3">
        <w:rPr>
          <w:rFonts w:ascii="Arial" w:hAnsi="Arial" w:cs="Arial"/>
          <w:b/>
          <w:sz w:val="20"/>
          <w:szCs w:val="20"/>
        </w:rPr>
        <w:t>Presupuesto 2017</w:t>
      </w:r>
    </w:p>
    <w:p w:rsidR="00A05CCB" w:rsidRPr="00F115D3" w:rsidRDefault="00A05CCB" w:rsidP="00A05CCB">
      <w:pPr>
        <w:pStyle w:val="Textoindependiente"/>
        <w:spacing w:after="0" w:line="240" w:lineRule="auto"/>
        <w:jc w:val="center"/>
        <w:rPr>
          <w:rFonts w:ascii="Arial" w:hAnsi="Arial" w:cs="Arial"/>
          <w:b/>
          <w:sz w:val="20"/>
          <w:szCs w:val="20"/>
        </w:rPr>
      </w:pPr>
      <w:r w:rsidRPr="00F115D3">
        <w:rPr>
          <w:rFonts w:ascii="Arial" w:hAnsi="Arial" w:cs="Arial"/>
          <w:b/>
          <w:sz w:val="20"/>
          <w:szCs w:val="20"/>
        </w:rPr>
        <w:t>Ingresos</w:t>
      </w:r>
    </w:p>
    <w:p w:rsidR="00A05CCB" w:rsidRPr="00F115D3" w:rsidRDefault="00A05CCB" w:rsidP="00A05CCB">
      <w:pPr>
        <w:pStyle w:val="Textoindependiente"/>
        <w:spacing w:after="0" w:line="240" w:lineRule="auto"/>
        <w:jc w:val="center"/>
        <w:rPr>
          <w:rFonts w:ascii="Arial" w:hAnsi="Arial" w:cs="Arial"/>
          <w:b/>
          <w:sz w:val="20"/>
          <w:szCs w:val="20"/>
        </w:rPr>
      </w:pPr>
      <w:r w:rsidRPr="00F115D3">
        <w:rPr>
          <w:rFonts w:ascii="Arial" w:hAnsi="Arial" w:cs="Arial"/>
          <w:b/>
          <w:sz w:val="20"/>
          <w:szCs w:val="20"/>
        </w:rPr>
        <w:t>Cuadro No.2</w:t>
      </w:r>
    </w:p>
    <w:p w:rsidR="00A05CCB" w:rsidRPr="00F115D3" w:rsidRDefault="00A05CCB" w:rsidP="00A05CCB">
      <w:pPr>
        <w:pStyle w:val="Textoindependiente"/>
        <w:spacing w:after="0" w:line="240" w:lineRule="auto"/>
        <w:jc w:val="center"/>
        <w:rPr>
          <w:rFonts w:ascii="Arial" w:hAnsi="Arial" w:cs="Arial"/>
          <w:sz w:val="20"/>
          <w:szCs w:val="20"/>
        </w:rPr>
      </w:pPr>
      <w:r w:rsidRPr="00F115D3">
        <w:rPr>
          <w:rFonts w:ascii="Arial" w:hAnsi="Arial" w:cs="Arial"/>
          <w:b/>
          <w:sz w:val="20"/>
          <w:szCs w:val="20"/>
        </w:rPr>
        <w:t>Al 31 de diciembre del 2017</w:t>
      </w:r>
    </w:p>
    <w:p w:rsidR="00A05CCB" w:rsidRPr="00F115D3" w:rsidRDefault="00A05CCB" w:rsidP="00A05CCB">
      <w:pPr>
        <w:pStyle w:val="Textoindependiente"/>
        <w:spacing w:after="0" w:line="240" w:lineRule="auto"/>
        <w:jc w:val="both"/>
        <w:rPr>
          <w:rFonts w:ascii="Arial" w:hAnsi="Arial" w:cs="Arial"/>
          <w:sz w:val="20"/>
          <w:szCs w:val="20"/>
        </w:rPr>
      </w:pP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975"/>
        <w:gridCol w:w="1149"/>
      </w:tblGrid>
      <w:tr w:rsidR="00A05CCB" w:rsidRPr="00F115D3" w:rsidTr="00BC1A0F">
        <w:trPr>
          <w:trHeight w:val="277"/>
          <w:jc w:val="center"/>
        </w:trPr>
        <w:tc>
          <w:tcPr>
            <w:tcW w:w="0" w:type="auto"/>
            <w:shd w:val="clear" w:color="auto" w:fill="auto"/>
          </w:tcPr>
          <w:p w:rsidR="00A05CCB" w:rsidRPr="00F115D3" w:rsidRDefault="00A05CCB" w:rsidP="00BC1A0F">
            <w:pPr>
              <w:pStyle w:val="Textoindependiente"/>
              <w:spacing w:after="0" w:line="240" w:lineRule="auto"/>
              <w:jc w:val="both"/>
              <w:rPr>
                <w:rFonts w:ascii="Arial" w:hAnsi="Arial" w:cs="Arial"/>
                <w:b/>
                <w:sz w:val="20"/>
                <w:szCs w:val="20"/>
              </w:rPr>
            </w:pPr>
            <w:r w:rsidRPr="00F115D3">
              <w:rPr>
                <w:rFonts w:ascii="Arial" w:hAnsi="Arial" w:cs="Arial"/>
                <w:b/>
                <w:sz w:val="20"/>
                <w:szCs w:val="20"/>
              </w:rPr>
              <w:t>Partida</w:t>
            </w:r>
          </w:p>
        </w:tc>
        <w:tc>
          <w:tcPr>
            <w:tcW w:w="0" w:type="auto"/>
            <w:shd w:val="clear" w:color="auto" w:fill="auto"/>
          </w:tcPr>
          <w:p w:rsidR="00A05CCB" w:rsidRPr="00F115D3" w:rsidRDefault="00A05CCB" w:rsidP="00BC1A0F">
            <w:pPr>
              <w:pStyle w:val="Textoindependiente"/>
              <w:spacing w:after="0" w:line="240" w:lineRule="auto"/>
              <w:jc w:val="both"/>
              <w:rPr>
                <w:rFonts w:ascii="Arial" w:hAnsi="Arial" w:cs="Arial"/>
                <w:b/>
                <w:sz w:val="20"/>
                <w:szCs w:val="20"/>
              </w:rPr>
            </w:pPr>
            <w:r w:rsidRPr="00F115D3">
              <w:rPr>
                <w:rFonts w:ascii="Arial" w:hAnsi="Arial" w:cs="Arial"/>
                <w:b/>
                <w:sz w:val="20"/>
                <w:szCs w:val="20"/>
              </w:rPr>
              <w:t>Monto</w:t>
            </w:r>
          </w:p>
        </w:tc>
        <w:tc>
          <w:tcPr>
            <w:tcW w:w="0" w:type="auto"/>
            <w:shd w:val="clear" w:color="auto" w:fill="auto"/>
          </w:tcPr>
          <w:p w:rsidR="00A05CCB" w:rsidRPr="00F115D3" w:rsidRDefault="00A05CCB" w:rsidP="00BC1A0F">
            <w:pPr>
              <w:pStyle w:val="Textoindependiente"/>
              <w:spacing w:after="0" w:line="240" w:lineRule="auto"/>
              <w:jc w:val="both"/>
              <w:rPr>
                <w:rFonts w:ascii="Arial" w:hAnsi="Arial" w:cs="Arial"/>
                <w:b/>
                <w:sz w:val="20"/>
                <w:szCs w:val="20"/>
              </w:rPr>
            </w:pPr>
            <w:r w:rsidRPr="00F115D3">
              <w:rPr>
                <w:rFonts w:ascii="Arial" w:hAnsi="Arial" w:cs="Arial"/>
                <w:b/>
                <w:sz w:val="20"/>
                <w:szCs w:val="20"/>
              </w:rPr>
              <w:t>%</w:t>
            </w:r>
          </w:p>
        </w:tc>
      </w:tr>
      <w:tr w:rsidR="00A05CCB" w:rsidRPr="00F115D3" w:rsidTr="00BC1A0F">
        <w:trPr>
          <w:trHeight w:val="277"/>
          <w:jc w:val="center"/>
        </w:trPr>
        <w:tc>
          <w:tcPr>
            <w:tcW w:w="0" w:type="auto"/>
            <w:shd w:val="clear" w:color="auto" w:fill="auto"/>
          </w:tcPr>
          <w:p w:rsidR="00A05CCB" w:rsidRPr="00F115D3" w:rsidRDefault="00A05CCB" w:rsidP="00BC1A0F">
            <w:pPr>
              <w:pStyle w:val="Textoindependiente"/>
              <w:spacing w:after="0" w:line="240" w:lineRule="auto"/>
              <w:jc w:val="both"/>
              <w:rPr>
                <w:rFonts w:ascii="Arial" w:hAnsi="Arial" w:cs="Arial"/>
                <w:sz w:val="20"/>
                <w:szCs w:val="20"/>
              </w:rPr>
            </w:pPr>
          </w:p>
          <w:p w:rsidR="00A05CCB" w:rsidRPr="00F115D3" w:rsidRDefault="00A05CCB" w:rsidP="00BC1A0F">
            <w:pPr>
              <w:pStyle w:val="Textoindependiente"/>
              <w:spacing w:after="0" w:line="240" w:lineRule="auto"/>
              <w:jc w:val="both"/>
              <w:rPr>
                <w:rFonts w:ascii="Arial" w:hAnsi="Arial" w:cs="Arial"/>
                <w:sz w:val="20"/>
                <w:szCs w:val="20"/>
              </w:rPr>
            </w:pPr>
            <w:r w:rsidRPr="00F115D3">
              <w:rPr>
                <w:rFonts w:ascii="Arial" w:hAnsi="Arial" w:cs="Arial"/>
                <w:sz w:val="20"/>
                <w:szCs w:val="20"/>
              </w:rPr>
              <w:t>Ingresos Corrientes</w:t>
            </w:r>
          </w:p>
        </w:tc>
        <w:tc>
          <w:tcPr>
            <w:tcW w:w="0" w:type="auto"/>
            <w:shd w:val="clear" w:color="auto" w:fill="auto"/>
          </w:tcPr>
          <w:p w:rsidR="00A05CCB" w:rsidRPr="00F115D3" w:rsidRDefault="00A05CCB" w:rsidP="00BC1A0F">
            <w:pPr>
              <w:pStyle w:val="Textoindependiente"/>
              <w:spacing w:after="0" w:line="240" w:lineRule="auto"/>
              <w:jc w:val="both"/>
              <w:rPr>
                <w:rFonts w:ascii="Arial" w:hAnsi="Arial" w:cs="Arial"/>
                <w:sz w:val="20"/>
                <w:szCs w:val="20"/>
              </w:rPr>
            </w:pPr>
          </w:p>
          <w:p w:rsidR="00A05CCB" w:rsidRPr="00F115D3" w:rsidRDefault="00A05CCB" w:rsidP="00BC1A0F">
            <w:pPr>
              <w:pStyle w:val="Textoindependiente"/>
              <w:spacing w:after="0" w:line="240" w:lineRule="auto"/>
              <w:jc w:val="both"/>
              <w:rPr>
                <w:rFonts w:ascii="Arial" w:hAnsi="Arial" w:cs="Arial"/>
                <w:sz w:val="20"/>
                <w:szCs w:val="20"/>
              </w:rPr>
            </w:pPr>
            <w:r w:rsidRPr="00F115D3">
              <w:rPr>
                <w:rFonts w:ascii="Arial" w:hAnsi="Arial" w:cs="Arial"/>
                <w:sz w:val="20"/>
                <w:szCs w:val="20"/>
              </w:rPr>
              <w:t>16.530.012.618.00</w:t>
            </w:r>
          </w:p>
        </w:tc>
        <w:tc>
          <w:tcPr>
            <w:tcW w:w="0" w:type="auto"/>
            <w:shd w:val="clear" w:color="auto" w:fill="auto"/>
          </w:tcPr>
          <w:p w:rsidR="00A05CCB" w:rsidRPr="00F115D3" w:rsidRDefault="00A05CCB" w:rsidP="00BC1A0F">
            <w:pPr>
              <w:pStyle w:val="Textoindependiente"/>
              <w:spacing w:after="0" w:line="240" w:lineRule="auto"/>
              <w:jc w:val="both"/>
              <w:rPr>
                <w:rFonts w:ascii="Arial" w:hAnsi="Arial" w:cs="Arial"/>
                <w:sz w:val="20"/>
                <w:szCs w:val="20"/>
              </w:rPr>
            </w:pPr>
          </w:p>
          <w:p w:rsidR="00A05CCB" w:rsidRPr="00F115D3" w:rsidRDefault="00A05CCB" w:rsidP="00BC1A0F">
            <w:pPr>
              <w:pStyle w:val="Textoindependiente"/>
              <w:spacing w:after="0" w:line="240" w:lineRule="auto"/>
              <w:jc w:val="both"/>
              <w:rPr>
                <w:rFonts w:ascii="Arial" w:hAnsi="Arial" w:cs="Arial"/>
                <w:sz w:val="20"/>
                <w:szCs w:val="20"/>
              </w:rPr>
            </w:pPr>
            <w:r w:rsidRPr="00F115D3">
              <w:rPr>
                <w:rFonts w:ascii="Arial" w:hAnsi="Arial" w:cs="Arial"/>
                <w:sz w:val="20"/>
                <w:szCs w:val="20"/>
              </w:rPr>
              <w:t>24%</w:t>
            </w:r>
          </w:p>
        </w:tc>
      </w:tr>
      <w:tr w:rsidR="00A05CCB" w:rsidRPr="00F115D3" w:rsidTr="00BC1A0F">
        <w:trPr>
          <w:trHeight w:val="676"/>
          <w:jc w:val="center"/>
        </w:trPr>
        <w:tc>
          <w:tcPr>
            <w:tcW w:w="0" w:type="auto"/>
            <w:shd w:val="clear" w:color="auto" w:fill="auto"/>
          </w:tcPr>
          <w:p w:rsidR="00A05CCB" w:rsidRPr="00F115D3" w:rsidRDefault="00A05CCB" w:rsidP="00BC1A0F">
            <w:pPr>
              <w:pStyle w:val="Textoindependiente"/>
              <w:spacing w:after="0" w:line="240" w:lineRule="auto"/>
              <w:jc w:val="both"/>
              <w:rPr>
                <w:rFonts w:ascii="Arial" w:hAnsi="Arial" w:cs="Arial"/>
                <w:sz w:val="20"/>
                <w:szCs w:val="20"/>
              </w:rPr>
            </w:pPr>
          </w:p>
          <w:p w:rsidR="00A05CCB" w:rsidRPr="00F115D3" w:rsidRDefault="00A05CCB" w:rsidP="00BC1A0F">
            <w:pPr>
              <w:pStyle w:val="Textoindependiente"/>
              <w:spacing w:after="0" w:line="240" w:lineRule="auto"/>
              <w:jc w:val="both"/>
              <w:rPr>
                <w:rFonts w:ascii="Arial" w:hAnsi="Arial" w:cs="Arial"/>
                <w:sz w:val="20"/>
                <w:szCs w:val="20"/>
              </w:rPr>
            </w:pPr>
          </w:p>
          <w:p w:rsidR="00A05CCB" w:rsidRPr="00F115D3" w:rsidRDefault="00A05CCB" w:rsidP="00BC1A0F">
            <w:pPr>
              <w:pStyle w:val="Textoindependiente"/>
              <w:spacing w:after="0" w:line="240" w:lineRule="auto"/>
              <w:jc w:val="both"/>
              <w:rPr>
                <w:rFonts w:ascii="Arial" w:hAnsi="Arial" w:cs="Arial"/>
                <w:sz w:val="20"/>
                <w:szCs w:val="20"/>
              </w:rPr>
            </w:pPr>
            <w:r w:rsidRPr="00F115D3">
              <w:rPr>
                <w:rFonts w:ascii="Arial" w:hAnsi="Arial" w:cs="Arial"/>
                <w:sz w:val="20"/>
                <w:szCs w:val="20"/>
              </w:rPr>
              <w:t>Ingresos de Capital</w:t>
            </w:r>
          </w:p>
        </w:tc>
        <w:tc>
          <w:tcPr>
            <w:tcW w:w="0" w:type="auto"/>
            <w:shd w:val="clear" w:color="auto" w:fill="auto"/>
          </w:tcPr>
          <w:p w:rsidR="00A05CCB" w:rsidRPr="00F115D3" w:rsidRDefault="00A05CCB" w:rsidP="00BC1A0F">
            <w:pPr>
              <w:pStyle w:val="Textoindependiente"/>
              <w:spacing w:after="0" w:line="240" w:lineRule="auto"/>
              <w:jc w:val="both"/>
              <w:rPr>
                <w:rFonts w:ascii="Arial" w:hAnsi="Arial" w:cs="Arial"/>
                <w:sz w:val="20"/>
                <w:szCs w:val="20"/>
              </w:rPr>
            </w:pPr>
          </w:p>
          <w:p w:rsidR="00A05CCB" w:rsidRPr="00F115D3" w:rsidRDefault="00A05CCB" w:rsidP="00BC1A0F">
            <w:pPr>
              <w:pStyle w:val="Textoindependiente"/>
              <w:spacing w:after="0" w:line="240" w:lineRule="auto"/>
              <w:jc w:val="both"/>
              <w:rPr>
                <w:rFonts w:ascii="Arial" w:hAnsi="Arial" w:cs="Arial"/>
                <w:sz w:val="20"/>
                <w:szCs w:val="20"/>
              </w:rPr>
            </w:pPr>
          </w:p>
          <w:p w:rsidR="00A05CCB" w:rsidRPr="00F115D3" w:rsidRDefault="00A05CCB" w:rsidP="00BC1A0F">
            <w:pPr>
              <w:pStyle w:val="Textoindependiente"/>
              <w:spacing w:after="0" w:line="240" w:lineRule="auto"/>
              <w:jc w:val="both"/>
              <w:rPr>
                <w:rFonts w:ascii="Arial" w:hAnsi="Arial" w:cs="Arial"/>
                <w:sz w:val="20"/>
                <w:szCs w:val="20"/>
              </w:rPr>
            </w:pPr>
            <w:r w:rsidRPr="00F115D3">
              <w:rPr>
                <w:rFonts w:ascii="Arial" w:hAnsi="Arial" w:cs="Arial"/>
                <w:sz w:val="20"/>
                <w:szCs w:val="20"/>
              </w:rPr>
              <w:t>25.745.014.701,00</w:t>
            </w:r>
          </w:p>
        </w:tc>
        <w:tc>
          <w:tcPr>
            <w:tcW w:w="0" w:type="auto"/>
            <w:shd w:val="clear" w:color="auto" w:fill="auto"/>
          </w:tcPr>
          <w:p w:rsidR="00A05CCB" w:rsidRPr="00F115D3" w:rsidRDefault="00A05CCB" w:rsidP="00BC1A0F">
            <w:pPr>
              <w:pStyle w:val="Textoindependiente"/>
              <w:spacing w:after="0" w:line="240" w:lineRule="auto"/>
              <w:jc w:val="both"/>
              <w:rPr>
                <w:rFonts w:ascii="Arial" w:hAnsi="Arial" w:cs="Arial"/>
                <w:sz w:val="20"/>
                <w:szCs w:val="20"/>
              </w:rPr>
            </w:pPr>
          </w:p>
          <w:p w:rsidR="00A05CCB" w:rsidRPr="00F115D3" w:rsidRDefault="00A05CCB" w:rsidP="00BC1A0F">
            <w:pPr>
              <w:pStyle w:val="Textoindependiente"/>
              <w:spacing w:after="0" w:line="240" w:lineRule="auto"/>
              <w:jc w:val="both"/>
              <w:rPr>
                <w:rFonts w:ascii="Arial" w:hAnsi="Arial" w:cs="Arial"/>
                <w:sz w:val="20"/>
                <w:szCs w:val="20"/>
              </w:rPr>
            </w:pPr>
          </w:p>
          <w:p w:rsidR="00A05CCB" w:rsidRPr="00F115D3" w:rsidRDefault="00A05CCB" w:rsidP="00BC1A0F">
            <w:pPr>
              <w:pStyle w:val="Textoindependiente"/>
              <w:spacing w:after="0" w:line="240" w:lineRule="auto"/>
              <w:jc w:val="both"/>
              <w:rPr>
                <w:rFonts w:ascii="Arial" w:hAnsi="Arial" w:cs="Arial"/>
                <w:sz w:val="20"/>
                <w:szCs w:val="20"/>
              </w:rPr>
            </w:pPr>
            <w:r w:rsidRPr="00F115D3">
              <w:rPr>
                <w:rFonts w:ascii="Arial" w:hAnsi="Arial" w:cs="Arial"/>
                <w:sz w:val="20"/>
                <w:szCs w:val="20"/>
              </w:rPr>
              <w:t>38%</w:t>
            </w:r>
          </w:p>
        </w:tc>
      </w:tr>
      <w:tr w:rsidR="00A05CCB" w:rsidRPr="00F115D3" w:rsidTr="00BC1A0F">
        <w:trPr>
          <w:trHeight w:val="277"/>
          <w:jc w:val="center"/>
        </w:trPr>
        <w:tc>
          <w:tcPr>
            <w:tcW w:w="0" w:type="auto"/>
            <w:shd w:val="clear" w:color="auto" w:fill="auto"/>
          </w:tcPr>
          <w:p w:rsidR="00A05CCB" w:rsidRPr="00F115D3" w:rsidRDefault="00A05CCB" w:rsidP="00BC1A0F">
            <w:pPr>
              <w:pStyle w:val="Textoindependiente"/>
              <w:spacing w:after="0" w:line="240" w:lineRule="auto"/>
              <w:jc w:val="both"/>
              <w:rPr>
                <w:rFonts w:ascii="Arial" w:hAnsi="Arial" w:cs="Arial"/>
                <w:sz w:val="20"/>
                <w:szCs w:val="20"/>
              </w:rPr>
            </w:pPr>
          </w:p>
          <w:p w:rsidR="00A05CCB" w:rsidRPr="00F115D3" w:rsidRDefault="00A05CCB" w:rsidP="00BC1A0F">
            <w:pPr>
              <w:pStyle w:val="Textoindependiente"/>
              <w:spacing w:after="0" w:line="240" w:lineRule="auto"/>
              <w:jc w:val="both"/>
              <w:rPr>
                <w:rFonts w:ascii="Arial" w:hAnsi="Arial" w:cs="Arial"/>
                <w:sz w:val="20"/>
                <w:szCs w:val="20"/>
              </w:rPr>
            </w:pPr>
            <w:r w:rsidRPr="00F115D3">
              <w:rPr>
                <w:rFonts w:ascii="Arial" w:hAnsi="Arial" w:cs="Arial"/>
                <w:sz w:val="20"/>
                <w:szCs w:val="20"/>
              </w:rPr>
              <w:t>Ingresos de Financiamiento</w:t>
            </w:r>
          </w:p>
        </w:tc>
        <w:tc>
          <w:tcPr>
            <w:tcW w:w="0" w:type="auto"/>
            <w:shd w:val="clear" w:color="auto" w:fill="auto"/>
          </w:tcPr>
          <w:p w:rsidR="00A05CCB" w:rsidRPr="00F115D3" w:rsidRDefault="00A05CCB" w:rsidP="00BC1A0F">
            <w:pPr>
              <w:pStyle w:val="Textoindependiente"/>
              <w:spacing w:after="0" w:line="240" w:lineRule="auto"/>
              <w:jc w:val="both"/>
              <w:rPr>
                <w:rFonts w:ascii="Arial" w:hAnsi="Arial" w:cs="Arial"/>
                <w:sz w:val="20"/>
                <w:szCs w:val="20"/>
              </w:rPr>
            </w:pPr>
          </w:p>
          <w:p w:rsidR="00A05CCB" w:rsidRPr="00F115D3" w:rsidRDefault="00A05CCB" w:rsidP="00BC1A0F">
            <w:pPr>
              <w:pStyle w:val="Textoindependiente"/>
              <w:spacing w:after="0" w:line="240" w:lineRule="auto"/>
              <w:jc w:val="both"/>
              <w:rPr>
                <w:rFonts w:ascii="Arial" w:hAnsi="Arial" w:cs="Arial"/>
                <w:sz w:val="20"/>
                <w:szCs w:val="20"/>
              </w:rPr>
            </w:pPr>
            <w:r w:rsidRPr="00F115D3">
              <w:rPr>
                <w:rFonts w:ascii="Arial" w:hAnsi="Arial" w:cs="Arial"/>
                <w:sz w:val="20"/>
                <w:szCs w:val="20"/>
              </w:rPr>
              <w:t>25.354.167.962.54</w:t>
            </w:r>
          </w:p>
        </w:tc>
        <w:tc>
          <w:tcPr>
            <w:tcW w:w="0" w:type="auto"/>
            <w:shd w:val="clear" w:color="auto" w:fill="auto"/>
          </w:tcPr>
          <w:p w:rsidR="00A05CCB" w:rsidRPr="00F115D3" w:rsidRDefault="00A05CCB" w:rsidP="00BC1A0F">
            <w:pPr>
              <w:pStyle w:val="Textoindependiente"/>
              <w:spacing w:after="0" w:line="240" w:lineRule="auto"/>
              <w:jc w:val="both"/>
              <w:rPr>
                <w:rFonts w:ascii="Arial" w:hAnsi="Arial" w:cs="Arial"/>
                <w:sz w:val="20"/>
                <w:szCs w:val="20"/>
              </w:rPr>
            </w:pPr>
          </w:p>
          <w:p w:rsidR="00A05CCB" w:rsidRPr="00F115D3" w:rsidRDefault="00A05CCB" w:rsidP="00BC1A0F">
            <w:pPr>
              <w:pStyle w:val="Textoindependiente"/>
              <w:spacing w:after="0" w:line="240" w:lineRule="auto"/>
              <w:jc w:val="both"/>
              <w:rPr>
                <w:rFonts w:ascii="Arial" w:hAnsi="Arial" w:cs="Arial"/>
                <w:sz w:val="20"/>
                <w:szCs w:val="20"/>
              </w:rPr>
            </w:pPr>
            <w:r w:rsidRPr="00F115D3">
              <w:rPr>
                <w:rFonts w:ascii="Arial" w:hAnsi="Arial" w:cs="Arial"/>
                <w:sz w:val="20"/>
                <w:szCs w:val="20"/>
              </w:rPr>
              <w:t>37%</w:t>
            </w:r>
          </w:p>
        </w:tc>
      </w:tr>
      <w:tr w:rsidR="00A05CCB" w:rsidRPr="00F115D3" w:rsidTr="00BC1A0F">
        <w:trPr>
          <w:trHeight w:val="277"/>
          <w:jc w:val="center"/>
        </w:trPr>
        <w:tc>
          <w:tcPr>
            <w:tcW w:w="0" w:type="auto"/>
            <w:shd w:val="clear" w:color="auto" w:fill="auto"/>
          </w:tcPr>
          <w:p w:rsidR="00A05CCB" w:rsidRPr="00F115D3" w:rsidRDefault="00A05CCB" w:rsidP="00BC1A0F">
            <w:pPr>
              <w:pStyle w:val="Textoindependiente"/>
              <w:spacing w:after="0" w:line="240" w:lineRule="auto"/>
              <w:jc w:val="both"/>
              <w:rPr>
                <w:rFonts w:ascii="Arial" w:hAnsi="Arial" w:cs="Arial"/>
                <w:b/>
                <w:sz w:val="20"/>
                <w:szCs w:val="20"/>
              </w:rPr>
            </w:pPr>
          </w:p>
          <w:p w:rsidR="00A05CCB" w:rsidRPr="00F115D3" w:rsidRDefault="00A05CCB" w:rsidP="00BC1A0F">
            <w:pPr>
              <w:pStyle w:val="Textoindependiente"/>
              <w:spacing w:after="0" w:line="240" w:lineRule="auto"/>
              <w:jc w:val="both"/>
              <w:rPr>
                <w:rFonts w:ascii="Arial" w:hAnsi="Arial" w:cs="Arial"/>
                <w:b/>
                <w:sz w:val="20"/>
                <w:szCs w:val="20"/>
              </w:rPr>
            </w:pPr>
            <w:r w:rsidRPr="00F115D3">
              <w:rPr>
                <w:rFonts w:ascii="Arial" w:hAnsi="Arial" w:cs="Arial"/>
                <w:b/>
                <w:sz w:val="20"/>
                <w:szCs w:val="20"/>
              </w:rPr>
              <w:t>Total Presupuesto</w:t>
            </w:r>
          </w:p>
        </w:tc>
        <w:tc>
          <w:tcPr>
            <w:tcW w:w="0" w:type="auto"/>
            <w:shd w:val="clear" w:color="auto" w:fill="auto"/>
          </w:tcPr>
          <w:p w:rsidR="00A05CCB" w:rsidRPr="00F115D3" w:rsidRDefault="00A05CCB" w:rsidP="00BC1A0F">
            <w:pPr>
              <w:pStyle w:val="Textoindependiente"/>
              <w:spacing w:after="0" w:line="240" w:lineRule="auto"/>
              <w:jc w:val="both"/>
              <w:rPr>
                <w:rFonts w:ascii="Arial" w:hAnsi="Arial" w:cs="Arial"/>
                <w:b/>
                <w:sz w:val="20"/>
                <w:szCs w:val="20"/>
              </w:rPr>
            </w:pPr>
          </w:p>
          <w:p w:rsidR="00A05CCB" w:rsidRPr="00F115D3" w:rsidRDefault="00A05CCB" w:rsidP="00BC1A0F">
            <w:pPr>
              <w:pStyle w:val="Textoindependiente"/>
              <w:spacing w:after="0" w:line="240" w:lineRule="auto"/>
              <w:jc w:val="both"/>
              <w:rPr>
                <w:rFonts w:ascii="Arial" w:hAnsi="Arial" w:cs="Arial"/>
                <w:b/>
                <w:sz w:val="20"/>
                <w:szCs w:val="20"/>
              </w:rPr>
            </w:pPr>
            <w:r w:rsidRPr="00F115D3">
              <w:rPr>
                <w:rFonts w:ascii="Arial" w:hAnsi="Arial" w:cs="Arial"/>
                <w:b/>
                <w:sz w:val="20"/>
                <w:szCs w:val="20"/>
              </w:rPr>
              <w:t>67.629.195.281.54</w:t>
            </w:r>
          </w:p>
        </w:tc>
        <w:tc>
          <w:tcPr>
            <w:tcW w:w="0" w:type="auto"/>
            <w:shd w:val="clear" w:color="auto" w:fill="auto"/>
          </w:tcPr>
          <w:p w:rsidR="00A05CCB" w:rsidRPr="00F115D3" w:rsidRDefault="00A05CCB" w:rsidP="00BC1A0F">
            <w:pPr>
              <w:pStyle w:val="Textoindependiente"/>
              <w:spacing w:after="0" w:line="240" w:lineRule="auto"/>
              <w:jc w:val="both"/>
              <w:rPr>
                <w:rFonts w:ascii="Arial" w:hAnsi="Arial" w:cs="Arial"/>
                <w:b/>
                <w:sz w:val="20"/>
                <w:szCs w:val="20"/>
              </w:rPr>
            </w:pPr>
          </w:p>
          <w:p w:rsidR="00A05CCB" w:rsidRPr="00F115D3" w:rsidRDefault="00A05CCB" w:rsidP="00BC1A0F">
            <w:pPr>
              <w:pStyle w:val="Textoindependiente"/>
              <w:spacing w:after="0" w:line="240" w:lineRule="auto"/>
              <w:jc w:val="both"/>
              <w:rPr>
                <w:rFonts w:ascii="Arial" w:hAnsi="Arial" w:cs="Arial"/>
                <w:b/>
                <w:sz w:val="20"/>
                <w:szCs w:val="20"/>
              </w:rPr>
            </w:pPr>
            <w:r w:rsidRPr="00F115D3">
              <w:rPr>
                <w:rFonts w:ascii="Arial" w:hAnsi="Arial" w:cs="Arial"/>
                <w:b/>
                <w:sz w:val="20"/>
                <w:szCs w:val="20"/>
              </w:rPr>
              <w:t>100%</w:t>
            </w:r>
          </w:p>
        </w:tc>
      </w:tr>
    </w:tbl>
    <w:p w:rsidR="00A05CCB" w:rsidRPr="00147922" w:rsidRDefault="00A05CCB" w:rsidP="00A05CCB">
      <w:pPr>
        <w:pStyle w:val="Textoindependiente"/>
        <w:spacing w:after="0" w:line="240" w:lineRule="auto"/>
        <w:jc w:val="both"/>
        <w:rPr>
          <w:rFonts w:ascii="Arial" w:hAnsi="Arial" w:cs="Arial"/>
          <w:sz w:val="18"/>
          <w:szCs w:val="18"/>
        </w:rPr>
      </w:pPr>
      <w:r w:rsidRPr="00F115D3">
        <w:rPr>
          <w:rFonts w:ascii="Arial" w:hAnsi="Arial" w:cs="Arial"/>
          <w:b/>
          <w:sz w:val="20"/>
          <w:szCs w:val="20"/>
        </w:rPr>
        <w:t xml:space="preserve">     </w:t>
      </w:r>
      <w:r w:rsidRPr="00147922">
        <w:rPr>
          <w:rFonts w:ascii="Arial" w:hAnsi="Arial" w:cs="Arial"/>
          <w:sz w:val="18"/>
          <w:szCs w:val="18"/>
        </w:rPr>
        <w:t>Fuente: Situación Presupuestaria-Ejecución Presupuestaria, Proceso de Contabilidad</w:t>
      </w:r>
    </w:p>
    <w:p w:rsidR="00A05CCB" w:rsidRPr="00F115D3" w:rsidRDefault="00A05CCB" w:rsidP="00A05CCB">
      <w:pPr>
        <w:pStyle w:val="Textoindependiente"/>
        <w:spacing w:after="0" w:line="240" w:lineRule="auto"/>
        <w:jc w:val="both"/>
        <w:rPr>
          <w:rFonts w:ascii="Arial" w:hAnsi="Arial" w:cs="Arial"/>
          <w:b/>
          <w:sz w:val="20"/>
          <w:szCs w:val="20"/>
        </w:rPr>
      </w:pPr>
    </w:p>
    <w:p w:rsidR="00A05CCB" w:rsidRPr="00F115D3" w:rsidRDefault="00A05CCB" w:rsidP="00A05CCB">
      <w:pPr>
        <w:pStyle w:val="Textoindependiente"/>
        <w:spacing w:after="0" w:line="240" w:lineRule="auto"/>
        <w:jc w:val="both"/>
        <w:rPr>
          <w:rFonts w:ascii="Arial" w:hAnsi="Arial" w:cs="Arial"/>
          <w:b/>
          <w:sz w:val="20"/>
          <w:szCs w:val="20"/>
        </w:rPr>
      </w:pPr>
    </w:p>
    <w:p w:rsidR="00A05CCB" w:rsidRPr="00F115D3" w:rsidRDefault="00A05CCB" w:rsidP="00A05CCB">
      <w:pPr>
        <w:pStyle w:val="Textoindependiente"/>
        <w:spacing w:after="0" w:line="240" w:lineRule="auto"/>
        <w:jc w:val="both"/>
        <w:rPr>
          <w:rFonts w:ascii="Arial" w:hAnsi="Arial" w:cs="Arial"/>
          <w:sz w:val="20"/>
          <w:szCs w:val="20"/>
        </w:rPr>
      </w:pPr>
      <w:r w:rsidRPr="00F115D3">
        <w:rPr>
          <w:rFonts w:ascii="Arial" w:hAnsi="Arial" w:cs="Arial"/>
          <w:sz w:val="20"/>
          <w:szCs w:val="20"/>
        </w:rPr>
        <w:t>Como se puede observar en el cuadro No.2, para el 2017, la mayor fuente de financiamiento del INVU se da mediante Ingresos de Capital con un 38% con respecto al total presupuestado, seguido de Ingresos de Financiamiento con un 37% y finalmente por los Ingresos Corrientes que representan un 24% del total del presupuesto.</w:t>
      </w: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spacing w:after="0" w:line="240" w:lineRule="auto"/>
        <w:jc w:val="both"/>
        <w:rPr>
          <w:rFonts w:ascii="Arial" w:hAnsi="Arial" w:cs="Arial"/>
          <w:sz w:val="20"/>
          <w:szCs w:val="20"/>
        </w:rPr>
      </w:pPr>
      <w:r w:rsidRPr="00F115D3">
        <w:rPr>
          <w:rFonts w:ascii="Arial" w:hAnsi="Arial" w:cs="Arial"/>
          <w:sz w:val="20"/>
          <w:szCs w:val="20"/>
        </w:rPr>
        <w:t xml:space="preserve">Los ingresos percibidos al 31 de diciembre del período en análisis y de acuerdo a la información suministrada por la Unidad de Finanzas-Proceso de Contabilidad-Ejecución Presupuestaria, fue por la suma de ¢45.145.887.633.15, un 67% del total presupuestado. </w:t>
      </w: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spacing w:after="0" w:line="240" w:lineRule="auto"/>
        <w:jc w:val="both"/>
        <w:rPr>
          <w:rFonts w:ascii="Arial" w:hAnsi="Arial" w:cs="Arial"/>
          <w:sz w:val="20"/>
          <w:szCs w:val="20"/>
        </w:rPr>
      </w:pPr>
      <w:r w:rsidRPr="00F115D3">
        <w:rPr>
          <w:rFonts w:ascii="Arial" w:hAnsi="Arial" w:cs="Arial"/>
          <w:sz w:val="20"/>
          <w:szCs w:val="20"/>
        </w:rPr>
        <w:t xml:space="preserve">Sin embargo, el presupuesto se financió también con Superávit Libre y Específico, por un monto del ¢11.385.275.972.54, lo que representa un 17% del total presupuestado. </w:t>
      </w: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spacing w:after="0" w:line="240" w:lineRule="auto"/>
        <w:jc w:val="both"/>
        <w:rPr>
          <w:rFonts w:ascii="Arial" w:hAnsi="Arial" w:cs="Arial"/>
          <w:sz w:val="20"/>
          <w:szCs w:val="20"/>
        </w:rPr>
      </w:pPr>
      <w:r w:rsidRPr="00F115D3">
        <w:rPr>
          <w:rFonts w:ascii="Arial" w:hAnsi="Arial" w:cs="Arial"/>
          <w:sz w:val="20"/>
          <w:szCs w:val="20"/>
        </w:rPr>
        <w:lastRenderedPageBreak/>
        <w:t>El ingreso total percibido (¢45.145.8 millones), alcanzó un 80% del total presupuestado (¢ 56.243.9 millones) excluyendo el superávit citado.</w:t>
      </w:r>
    </w:p>
    <w:p w:rsidR="00A05CCB" w:rsidRPr="00F115D3" w:rsidRDefault="00A05CCB" w:rsidP="00A05CCB">
      <w:pPr>
        <w:pStyle w:val="Textoindependiente"/>
        <w:spacing w:after="0" w:line="240" w:lineRule="auto"/>
        <w:jc w:val="both"/>
        <w:rPr>
          <w:rFonts w:ascii="Arial" w:hAnsi="Arial" w:cs="Arial"/>
          <w:sz w:val="20"/>
          <w:szCs w:val="20"/>
        </w:rPr>
      </w:pPr>
    </w:p>
    <w:p w:rsidR="00147922" w:rsidRDefault="00147922"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spacing w:after="0" w:line="240" w:lineRule="auto"/>
        <w:jc w:val="both"/>
        <w:rPr>
          <w:rFonts w:ascii="Arial" w:hAnsi="Arial" w:cs="Arial"/>
          <w:sz w:val="20"/>
          <w:szCs w:val="20"/>
        </w:rPr>
      </w:pPr>
      <w:r w:rsidRPr="00F115D3">
        <w:rPr>
          <w:rFonts w:ascii="Arial" w:hAnsi="Arial" w:cs="Arial"/>
          <w:sz w:val="20"/>
          <w:szCs w:val="20"/>
        </w:rPr>
        <w:t xml:space="preserve">Para un mejor análisis de lo percibido efectivamente, en el siguiente gráfico no se consideran los recursos por Superávits. </w:t>
      </w: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spacing w:after="0" w:line="240" w:lineRule="auto"/>
        <w:jc w:val="both"/>
        <w:rPr>
          <w:rFonts w:ascii="Arial" w:hAnsi="Arial" w:cs="Arial"/>
          <w:sz w:val="20"/>
          <w:szCs w:val="20"/>
        </w:rPr>
      </w:pPr>
      <w:r w:rsidRPr="00F115D3">
        <w:rPr>
          <w:rFonts w:ascii="Arial" w:hAnsi="Arial" w:cs="Arial"/>
          <w:noProof/>
          <w:sz w:val="20"/>
          <w:szCs w:val="20"/>
          <w:lang w:eastAsia="es-CR"/>
        </w:rPr>
        <w:drawing>
          <wp:inline distT="0" distB="0" distL="0" distR="0" wp14:anchorId="1AFAC21A" wp14:editId="20F530F8">
            <wp:extent cx="5615940" cy="4048125"/>
            <wp:effectExtent l="0" t="0" r="3810" b="9525"/>
            <wp:docPr id="17" name="Gráfico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A05CCB" w:rsidRPr="00147922" w:rsidRDefault="00A05CCB" w:rsidP="00A05CCB">
      <w:pPr>
        <w:pStyle w:val="Textoindependiente"/>
        <w:spacing w:after="0" w:line="240" w:lineRule="auto"/>
        <w:jc w:val="both"/>
        <w:rPr>
          <w:rFonts w:ascii="Arial" w:hAnsi="Arial" w:cs="Arial"/>
          <w:sz w:val="18"/>
          <w:szCs w:val="18"/>
        </w:rPr>
      </w:pPr>
      <w:r w:rsidRPr="00147922">
        <w:rPr>
          <w:rFonts w:ascii="Arial" w:hAnsi="Arial" w:cs="Arial"/>
          <w:sz w:val="18"/>
          <w:szCs w:val="18"/>
        </w:rPr>
        <w:t>Fuente: Ejecución Presupuestaria -Contabilidad</w:t>
      </w: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spacing w:after="0" w:line="240" w:lineRule="auto"/>
        <w:jc w:val="both"/>
        <w:rPr>
          <w:rFonts w:ascii="Arial" w:hAnsi="Arial" w:cs="Arial"/>
          <w:sz w:val="20"/>
          <w:szCs w:val="20"/>
        </w:rPr>
      </w:pPr>
      <w:r w:rsidRPr="00F115D3">
        <w:rPr>
          <w:rFonts w:ascii="Arial" w:hAnsi="Arial" w:cs="Arial"/>
          <w:sz w:val="20"/>
          <w:szCs w:val="20"/>
        </w:rPr>
        <w:t>Como se puede observar en el gráfico No.1, el monto percibido al 31 de diciembre por concepto de Ingresos Corrientes es por la suma de ¢17.251.417.259.47, lo que representa un 104% del total estimado, mientras que por concepto de Ingresos de Capital se percibió un monto de ¢16.824.323.092.84 (65%) y de financiamiento (sin incluir el Superávit) la suma de ¢11.070.147.280.84 (79%) del total presupuestado.</w:t>
      </w:r>
    </w:p>
    <w:p w:rsidR="00147922" w:rsidRDefault="00147922">
      <w:pPr>
        <w:rPr>
          <w:rFonts w:ascii="Arial" w:hAnsi="Arial" w:cs="Arial"/>
          <w:sz w:val="20"/>
          <w:szCs w:val="20"/>
        </w:rPr>
      </w:pPr>
      <w:r>
        <w:rPr>
          <w:rFonts w:ascii="Arial" w:hAnsi="Arial" w:cs="Arial"/>
          <w:sz w:val="20"/>
          <w:szCs w:val="20"/>
        </w:rPr>
        <w:br w:type="page"/>
      </w: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spacing w:after="0" w:line="240" w:lineRule="auto"/>
        <w:jc w:val="both"/>
        <w:rPr>
          <w:rFonts w:ascii="Arial" w:hAnsi="Arial" w:cs="Arial"/>
          <w:b/>
          <w:sz w:val="20"/>
          <w:szCs w:val="20"/>
        </w:rPr>
      </w:pPr>
      <w:r w:rsidRPr="00F115D3">
        <w:rPr>
          <w:rFonts w:ascii="Arial" w:hAnsi="Arial" w:cs="Arial"/>
          <w:b/>
          <w:sz w:val="20"/>
          <w:szCs w:val="20"/>
        </w:rPr>
        <w:t>4.2 Ingresos percibidos (INVU sin SAP)</w:t>
      </w: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spacing w:after="0" w:line="240" w:lineRule="auto"/>
        <w:jc w:val="both"/>
        <w:rPr>
          <w:rFonts w:ascii="Arial" w:hAnsi="Arial" w:cs="Arial"/>
          <w:sz w:val="20"/>
          <w:szCs w:val="20"/>
        </w:rPr>
      </w:pPr>
      <w:r w:rsidRPr="00F115D3">
        <w:rPr>
          <w:rFonts w:ascii="Arial" w:hAnsi="Arial" w:cs="Arial"/>
          <w:sz w:val="20"/>
          <w:szCs w:val="20"/>
        </w:rPr>
        <w:t>En el siguiente cuadro se detallan los ingresos percibidos en las diferentes partidas estimadas.</w:t>
      </w:r>
    </w:p>
    <w:p w:rsidR="00A05CCB" w:rsidRPr="00F115D3" w:rsidRDefault="00A05CCB" w:rsidP="00A05CCB">
      <w:pPr>
        <w:pStyle w:val="Textoindependiente"/>
        <w:spacing w:after="0" w:line="240" w:lineRule="auto"/>
        <w:jc w:val="both"/>
        <w:rPr>
          <w:rFonts w:ascii="Arial" w:hAnsi="Arial" w:cs="Arial"/>
          <w:sz w:val="20"/>
          <w:szCs w:val="20"/>
        </w:rPr>
      </w:pPr>
      <w:r w:rsidRPr="00F115D3">
        <w:rPr>
          <w:rFonts w:ascii="Arial" w:hAnsi="Arial" w:cs="Arial"/>
          <w:noProof/>
          <w:sz w:val="20"/>
          <w:szCs w:val="20"/>
          <w:lang w:eastAsia="es-CR"/>
        </w:rPr>
        <w:drawing>
          <wp:inline distT="0" distB="0" distL="0" distR="0" wp14:anchorId="42680243" wp14:editId="2B2B9E08">
            <wp:extent cx="5610225" cy="421957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10225" cy="4219575"/>
                    </a:xfrm>
                    <a:prstGeom prst="rect">
                      <a:avLst/>
                    </a:prstGeom>
                    <a:noFill/>
                    <a:ln>
                      <a:noFill/>
                    </a:ln>
                  </pic:spPr>
                </pic:pic>
              </a:graphicData>
            </a:graphic>
          </wp:inline>
        </w:drawing>
      </w:r>
    </w:p>
    <w:p w:rsidR="00A05CCB" w:rsidRPr="00F115D3" w:rsidRDefault="00A05CCB" w:rsidP="00A05CCB">
      <w:pPr>
        <w:pStyle w:val="Textoindependiente"/>
        <w:spacing w:after="0" w:line="240" w:lineRule="auto"/>
        <w:jc w:val="both"/>
        <w:rPr>
          <w:rFonts w:ascii="Arial" w:hAnsi="Arial" w:cs="Arial"/>
          <w:b/>
          <w:sz w:val="20"/>
          <w:szCs w:val="20"/>
        </w:rPr>
      </w:pPr>
    </w:p>
    <w:p w:rsidR="00A05CCB" w:rsidRPr="00F115D3" w:rsidRDefault="00A05CCB" w:rsidP="00A05CCB">
      <w:pPr>
        <w:pStyle w:val="Textoindependiente3"/>
        <w:spacing w:after="0" w:line="240" w:lineRule="auto"/>
        <w:jc w:val="both"/>
        <w:rPr>
          <w:rFonts w:ascii="Arial" w:hAnsi="Arial" w:cs="Arial"/>
          <w:sz w:val="20"/>
          <w:szCs w:val="20"/>
        </w:rPr>
      </w:pPr>
    </w:p>
    <w:p w:rsidR="00A05CCB" w:rsidRPr="00F115D3" w:rsidRDefault="00A05CCB" w:rsidP="00A05CCB">
      <w:pPr>
        <w:pStyle w:val="Textoindependiente3"/>
        <w:spacing w:after="0" w:line="240" w:lineRule="auto"/>
        <w:jc w:val="both"/>
        <w:rPr>
          <w:rFonts w:ascii="Arial" w:hAnsi="Arial" w:cs="Arial"/>
          <w:sz w:val="20"/>
          <w:szCs w:val="20"/>
        </w:rPr>
      </w:pPr>
      <w:r w:rsidRPr="00F115D3">
        <w:rPr>
          <w:rFonts w:ascii="Arial" w:hAnsi="Arial" w:cs="Arial"/>
          <w:sz w:val="20"/>
          <w:szCs w:val="20"/>
        </w:rPr>
        <w:t>Como se observa en el cuadro No.3 uno de los  porcentajes más alto (100%) de ingresos corrientes percibidos es la Transferencia del Gobierno Central, otorgada para financiar gasto operativo, sin embargo, es importante indicar que el monto original a percibir por este ingreso era por la suma ¢1.000 millones, pero en cumplimiento al Decreto Ejecutivo No.40540-H, específicamente a lo señalado en el Artículo 6 “</w:t>
      </w:r>
      <w:r w:rsidRPr="00F115D3">
        <w:rPr>
          <w:rFonts w:ascii="Arial" w:hAnsi="Arial" w:cs="Arial"/>
          <w:b/>
          <w:sz w:val="20"/>
          <w:szCs w:val="20"/>
        </w:rPr>
        <w:t xml:space="preserve">Se autoriza a las instituciones que perciben transferencias del Presupuesto Nacional para que en lo que resta del 2017 puedan financiar gastos operativos con recursos de superávit libre”. </w:t>
      </w:r>
      <w:r w:rsidRPr="00F115D3">
        <w:rPr>
          <w:rFonts w:ascii="Arial" w:hAnsi="Arial" w:cs="Arial"/>
          <w:sz w:val="20"/>
          <w:szCs w:val="20"/>
        </w:rPr>
        <w:t>Se procedió a disminuir este monto mediante un Presupuesto Extraordinario.</w:t>
      </w:r>
    </w:p>
    <w:p w:rsidR="00A05CCB" w:rsidRPr="00F115D3" w:rsidRDefault="00A05CCB" w:rsidP="00A05CCB">
      <w:pPr>
        <w:pStyle w:val="Textoindependiente3"/>
        <w:spacing w:after="0" w:line="240" w:lineRule="auto"/>
        <w:jc w:val="both"/>
        <w:rPr>
          <w:rFonts w:ascii="Arial" w:hAnsi="Arial" w:cs="Arial"/>
          <w:sz w:val="20"/>
          <w:szCs w:val="20"/>
        </w:rPr>
      </w:pPr>
    </w:p>
    <w:p w:rsidR="00A05CCB" w:rsidRPr="00F115D3" w:rsidRDefault="00A05CCB" w:rsidP="00A05CCB">
      <w:pPr>
        <w:pStyle w:val="Textoindependiente3"/>
        <w:spacing w:after="0" w:line="240" w:lineRule="auto"/>
        <w:jc w:val="both"/>
        <w:rPr>
          <w:rFonts w:ascii="Arial" w:hAnsi="Arial" w:cs="Arial"/>
          <w:sz w:val="20"/>
          <w:szCs w:val="20"/>
        </w:rPr>
      </w:pPr>
      <w:r w:rsidRPr="00F115D3">
        <w:rPr>
          <w:rFonts w:ascii="Arial" w:hAnsi="Arial" w:cs="Arial"/>
          <w:sz w:val="20"/>
          <w:szCs w:val="20"/>
        </w:rPr>
        <w:t>Los intereses sobre préstamos fue otro ingreso corriente que sobrepasa la estimación presupuestaria (147%), no obstante, debe tenerse presente, que en el período en análisis se liquidaron aquellas operaciones crediticias que a través de la Ley 9016 y el Convenio de Consolidación Patrimonial (recursos FODESAF) fueron condonadas a los clientes y el mismo comportamiento se presenta en la recuperación de los préstamos (280%).</w:t>
      </w:r>
    </w:p>
    <w:p w:rsidR="00A05CCB" w:rsidRPr="00F115D3" w:rsidRDefault="00A05CCB" w:rsidP="00A05CCB">
      <w:pPr>
        <w:pStyle w:val="Textoindependiente3"/>
        <w:spacing w:after="0" w:line="240" w:lineRule="auto"/>
        <w:jc w:val="both"/>
        <w:rPr>
          <w:rFonts w:ascii="Arial" w:hAnsi="Arial" w:cs="Arial"/>
          <w:sz w:val="20"/>
          <w:szCs w:val="20"/>
        </w:rPr>
      </w:pPr>
    </w:p>
    <w:p w:rsidR="00A05CCB" w:rsidRPr="00F115D3" w:rsidRDefault="00A05CCB" w:rsidP="00A05CCB">
      <w:pPr>
        <w:pStyle w:val="Textoindependiente3"/>
        <w:spacing w:after="0" w:line="240" w:lineRule="auto"/>
        <w:jc w:val="both"/>
        <w:rPr>
          <w:rFonts w:ascii="Arial" w:hAnsi="Arial" w:cs="Arial"/>
          <w:sz w:val="20"/>
          <w:szCs w:val="20"/>
        </w:rPr>
      </w:pPr>
      <w:r w:rsidRPr="00F115D3">
        <w:rPr>
          <w:rFonts w:ascii="Arial" w:hAnsi="Arial" w:cs="Arial"/>
          <w:sz w:val="20"/>
          <w:szCs w:val="20"/>
        </w:rPr>
        <w:lastRenderedPageBreak/>
        <w:t>En cuanto a los ingresos percibidos por concepto de inversiones (92%) y cuentas corrientes (222%), esto se debe al alza en las tasas de colocación.</w:t>
      </w:r>
    </w:p>
    <w:p w:rsidR="00A05CCB" w:rsidRPr="00F115D3" w:rsidRDefault="00A05CCB" w:rsidP="00A05CCB">
      <w:pPr>
        <w:pStyle w:val="Textoindependiente3"/>
        <w:spacing w:after="0" w:line="240" w:lineRule="auto"/>
        <w:jc w:val="both"/>
        <w:rPr>
          <w:rFonts w:ascii="Arial" w:hAnsi="Arial" w:cs="Arial"/>
          <w:sz w:val="20"/>
          <w:szCs w:val="20"/>
        </w:rPr>
      </w:pPr>
    </w:p>
    <w:p w:rsidR="00A05CCB" w:rsidRPr="00F115D3" w:rsidRDefault="00A05CCB" w:rsidP="00A05CCB">
      <w:pPr>
        <w:pStyle w:val="Textoindependiente3"/>
        <w:spacing w:after="0" w:line="240" w:lineRule="auto"/>
        <w:jc w:val="both"/>
        <w:rPr>
          <w:rFonts w:ascii="Arial" w:hAnsi="Arial" w:cs="Arial"/>
          <w:sz w:val="20"/>
          <w:szCs w:val="20"/>
        </w:rPr>
      </w:pPr>
      <w:r w:rsidRPr="00F115D3">
        <w:rPr>
          <w:rFonts w:ascii="Arial" w:hAnsi="Arial" w:cs="Arial"/>
          <w:sz w:val="20"/>
          <w:szCs w:val="20"/>
        </w:rPr>
        <w:t>En relación al porcentaje de realización de los “Ingresos varios no Específicos” (188%), se india que estos recursos no le pertenecen a la Institución, en esta partida se registran los pagos que realizan terceros para cubrir gastos de formalización y pago de pólizas de una operación crediticia, bonos individuales o Art. 59 (cuando procede). El NVU es un intermediario entre el cliente y la aseguradora y/o personas que prestan el servicio por contratación al INVU (avalúos, notarios, entre otros).</w:t>
      </w:r>
    </w:p>
    <w:p w:rsidR="00A05CCB" w:rsidRPr="00F115D3" w:rsidRDefault="00A05CCB" w:rsidP="00A05CCB">
      <w:pPr>
        <w:pStyle w:val="Textoindependiente3"/>
        <w:spacing w:after="0" w:line="240" w:lineRule="auto"/>
        <w:jc w:val="both"/>
        <w:rPr>
          <w:rFonts w:ascii="Arial" w:hAnsi="Arial" w:cs="Arial"/>
          <w:sz w:val="20"/>
          <w:szCs w:val="20"/>
        </w:rPr>
      </w:pPr>
    </w:p>
    <w:p w:rsidR="00A05CCB" w:rsidRPr="00F115D3" w:rsidRDefault="00A05CCB" w:rsidP="00A05CCB">
      <w:pPr>
        <w:pStyle w:val="Textoindependiente3"/>
        <w:spacing w:after="0" w:line="240" w:lineRule="auto"/>
        <w:jc w:val="both"/>
        <w:rPr>
          <w:rFonts w:ascii="Arial" w:hAnsi="Arial" w:cs="Arial"/>
          <w:sz w:val="20"/>
          <w:szCs w:val="20"/>
        </w:rPr>
      </w:pPr>
      <w:r w:rsidRPr="00F115D3">
        <w:rPr>
          <w:rFonts w:ascii="Arial" w:hAnsi="Arial" w:cs="Arial"/>
          <w:sz w:val="20"/>
          <w:szCs w:val="20"/>
        </w:rPr>
        <w:t xml:space="preserve"> </w:t>
      </w:r>
    </w:p>
    <w:p w:rsidR="00A05CCB" w:rsidRPr="00F115D3" w:rsidRDefault="00A05CCB" w:rsidP="00A05CCB">
      <w:pPr>
        <w:pStyle w:val="Textoindependiente3"/>
        <w:spacing w:after="0" w:line="240" w:lineRule="auto"/>
        <w:jc w:val="both"/>
        <w:rPr>
          <w:rFonts w:ascii="Arial" w:hAnsi="Arial" w:cs="Arial"/>
          <w:b/>
          <w:sz w:val="20"/>
          <w:szCs w:val="20"/>
        </w:rPr>
      </w:pPr>
      <w:r w:rsidRPr="00F115D3">
        <w:rPr>
          <w:rFonts w:ascii="Arial" w:hAnsi="Arial" w:cs="Arial"/>
          <w:b/>
          <w:sz w:val="20"/>
          <w:szCs w:val="20"/>
        </w:rPr>
        <w:t xml:space="preserve">4.3 Ingresos percibidos por el Sistema de Ahorro y Préstamo </w:t>
      </w: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spacing w:after="0" w:line="240" w:lineRule="auto"/>
        <w:jc w:val="both"/>
        <w:rPr>
          <w:rFonts w:ascii="Arial" w:hAnsi="Arial" w:cs="Arial"/>
          <w:sz w:val="20"/>
          <w:szCs w:val="20"/>
        </w:rPr>
      </w:pPr>
      <w:r w:rsidRPr="00F115D3">
        <w:rPr>
          <w:rFonts w:ascii="Arial" w:hAnsi="Arial" w:cs="Arial"/>
          <w:sz w:val="20"/>
          <w:szCs w:val="20"/>
        </w:rPr>
        <w:t>A continuación, se detallan los ingresos percibidos por el Sistema de Ahorro y Préstamo:</w:t>
      </w: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spacing w:after="0" w:line="240" w:lineRule="auto"/>
        <w:jc w:val="both"/>
        <w:rPr>
          <w:rFonts w:ascii="Arial" w:hAnsi="Arial" w:cs="Arial"/>
          <w:sz w:val="20"/>
          <w:szCs w:val="20"/>
        </w:rPr>
      </w:pPr>
      <w:r w:rsidRPr="00F115D3">
        <w:rPr>
          <w:rFonts w:ascii="Arial" w:hAnsi="Arial" w:cs="Arial"/>
          <w:noProof/>
          <w:sz w:val="20"/>
          <w:szCs w:val="20"/>
          <w:lang w:eastAsia="es-CR"/>
        </w:rPr>
        <w:drawing>
          <wp:inline distT="0" distB="0" distL="0" distR="0" wp14:anchorId="3FA8EE20" wp14:editId="4EC4298D">
            <wp:extent cx="5610225" cy="3476625"/>
            <wp:effectExtent l="0" t="0" r="9525" b="952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10225" cy="3476625"/>
                    </a:xfrm>
                    <a:prstGeom prst="rect">
                      <a:avLst/>
                    </a:prstGeom>
                    <a:noFill/>
                    <a:ln>
                      <a:noFill/>
                    </a:ln>
                  </pic:spPr>
                </pic:pic>
              </a:graphicData>
            </a:graphic>
          </wp:inline>
        </w:drawing>
      </w:r>
    </w:p>
    <w:p w:rsidR="00A05CCB" w:rsidRPr="00147922" w:rsidRDefault="00A05CCB" w:rsidP="00A05CCB">
      <w:pPr>
        <w:pStyle w:val="Textoindependiente"/>
        <w:spacing w:after="0" w:line="240" w:lineRule="auto"/>
        <w:jc w:val="both"/>
        <w:rPr>
          <w:rFonts w:ascii="Arial" w:hAnsi="Arial" w:cs="Arial"/>
          <w:sz w:val="18"/>
          <w:szCs w:val="18"/>
        </w:rPr>
      </w:pPr>
      <w:r w:rsidRPr="00147922">
        <w:rPr>
          <w:rFonts w:ascii="Arial" w:hAnsi="Arial" w:cs="Arial"/>
          <w:sz w:val="18"/>
          <w:szCs w:val="18"/>
        </w:rPr>
        <w:t>Fuente: controles de Planificación e Informes de Ejecución Presupuestaria-Contabilidad</w:t>
      </w: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spacing w:after="0" w:line="240" w:lineRule="auto"/>
        <w:jc w:val="both"/>
        <w:rPr>
          <w:rFonts w:ascii="Arial" w:hAnsi="Arial" w:cs="Arial"/>
          <w:sz w:val="20"/>
          <w:szCs w:val="20"/>
        </w:rPr>
      </w:pPr>
      <w:r w:rsidRPr="00F115D3">
        <w:rPr>
          <w:rFonts w:ascii="Arial" w:hAnsi="Arial" w:cs="Arial"/>
          <w:sz w:val="20"/>
          <w:szCs w:val="20"/>
        </w:rPr>
        <w:t xml:space="preserve">En el cuadro anterior No.4, podemos determinar que el Sistema de Ahorro y Préstamo (SAP), logro percibir un 90% de su presupuesto estimado. Dentro de las partidas que sobrepasaron el monto estimado están los intereses percibidos por recuperación de la cartera de crédito con un 108%, inversiones con un 117%, y los generados en las cuentas corrientes con un1439%, estos dos últimos, debido al incremento en las tasas de interés y el monto colocado. </w:t>
      </w: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spacing w:after="0" w:line="240" w:lineRule="auto"/>
        <w:jc w:val="both"/>
        <w:rPr>
          <w:rFonts w:ascii="Arial" w:hAnsi="Arial" w:cs="Arial"/>
          <w:b/>
          <w:sz w:val="20"/>
          <w:szCs w:val="20"/>
        </w:rPr>
      </w:pPr>
      <w:r w:rsidRPr="00F115D3">
        <w:rPr>
          <w:rFonts w:ascii="Arial" w:hAnsi="Arial" w:cs="Arial"/>
          <w:b/>
          <w:sz w:val="20"/>
          <w:szCs w:val="20"/>
        </w:rPr>
        <w:t>4.4 Comportamiento de los Ingresos 2016-2017</w:t>
      </w: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spacing w:after="0" w:line="240" w:lineRule="auto"/>
        <w:jc w:val="both"/>
        <w:rPr>
          <w:rFonts w:ascii="Arial" w:hAnsi="Arial" w:cs="Arial"/>
          <w:sz w:val="20"/>
          <w:szCs w:val="20"/>
        </w:rPr>
      </w:pPr>
      <w:r w:rsidRPr="00F115D3">
        <w:rPr>
          <w:rFonts w:ascii="Arial" w:hAnsi="Arial" w:cs="Arial"/>
          <w:sz w:val="20"/>
          <w:szCs w:val="20"/>
        </w:rPr>
        <w:t>El siguiente cuadro muestra el comportamiento de los ingresos en los periodos correspondientes al 2016-2017, en cuanto a variables tales como, montos presupuestados, ingresos percibidos, variaciones presupuestarias.</w:t>
      </w: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spacing w:after="0" w:line="240" w:lineRule="auto"/>
        <w:jc w:val="both"/>
        <w:rPr>
          <w:rFonts w:ascii="Arial" w:hAnsi="Arial" w:cs="Arial"/>
          <w:sz w:val="20"/>
          <w:szCs w:val="20"/>
        </w:rPr>
      </w:pPr>
      <w:r w:rsidRPr="00F115D3">
        <w:rPr>
          <w:rFonts w:ascii="Arial" w:hAnsi="Arial" w:cs="Arial"/>
          <w:noProof/>
          <w:sz w:val="20"/>
          <w:szCs w:val="20"/>
          <w:lang w:eastAsia="es-CR"/>
        </w:rPr>
        <w:drawing>
          <wp:inline distT="0" distB="0" distL="0" distR="0" wp14:anchorId="229BD5D2" wp14:editId="4F66AF75">
            <wp:extent cx="5610225" cy="2095500"/>
            <wp:effectExtent l="0" t="0" r="9525"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10225" cy="2095500"/>
                    </a:xfrm>
                    <a:prstGeom prst="rect">
                      <a:avLst/>
                    </a:prstGeom>
                    <a:noFill/>
                    <a:ln>
                      <a:noFill/>
                    </a:ln>
                  </pic:spPr>
                </pic:pic>
              </a:graphicData>
            </a:graphic>
          </wp:inline>
        </w:drawing>
      </w:r>
    </w:p>
    <w:p w:rsidR="00A05CCB" w:rsidRDefault="00A05CCB" w:rsidP="00A05CCB">
      <w:pPr>
        <w:pStyle w:val="Textoindependiente"/>
        <w:spacing w:after="0" w:line="240" w:lineRule="auto"/>
        <w:jc w:val="both"/>
        <w:rPr>
          <w:rFonts w:ascii="Arial" w:hAnsi="Arial" w:cs="Arial"/>
          <w:sz w:val="20"/>
          <w:szCs w:val="20"/>
        </w:rPr>
      </w:pPr>
    </w:p>
    <w:p w:rsidR="00147922" w:rsidRPr="00F115D3" w:rsidRDefault="00147922"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spacing w:after="0" w:line="240" w:lineRule="auto"/>
        <w:jc w:val="both"/>
        <w:rPr>
          <w:rFonts w:ascii="Arial" w:hAnsi="Arial" w:cs="Arial"/>
          <w:sz w:val="20"/>
          <w:szCs w:val="20"/>
        </w:rPr>
      </w:pPr>
      <w:r w:rsidRPr="00F115D3">
        <w:rPr>
          <w:rFonts w:ascii="Arial" w:hAnsi="Arial" w:cs="Arial"/>
          <w:sz w:val="20"/>
          <w:szCs w:val="20"/>
        </w:rPr>
        <w:t>Como se muestra en el cuadro anterior, los ingresos corrientes percibidos durante el período 2017 se incrementaron en un 13% con respecto al año 2016, esto debido principalmente a los incrementos en las tasas de colocación de las inversiones.</w:t>
      </w: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spacing w:after="0" w:line="240" w:lineRule="auto"/>
        <w:jc w:val="both"/>
        <w:rPr>
          <w:rFonts w:ascii="Arial" w:hAnsi="Arial" w:cs="Arial"/>
          <w:sz w:val="20"/>
          <w:szCs w:val="20"/>
        </w:rPr>
      </w:pPr>
      <w:r w:rsidRPr="00F115D3">
        <w:rPr>
          <w:rFonts w:ascii="Arial" w:hAnsi="Arial" w:cs="Arial"/>
          <w:sz w:val="20"/>
          <w:szCs w:val="20"/>
        </w:rPr>
        <w:t>En cuanto a la disminución efectiva en los ingresos de capital en un 2%, la diferencia se presenta principalmente por las transferencias de capital provenientes del BANHVI.</w:t>
      </w: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spacing w:after="0" w:line="240" w:lineRule="auto"/>
        <w:jc w:val="both"/>
        <w:rPr>
          <w:rFonts w:ascii="Arial" w:hAnsi="Arial" w:cs="Arial"/>
          <w:sz w:val="20"/>
          <w:szCs w:val="20"/>
        </w:rPr>
      </w:pPr>
      <w:r w:rsidRPr="00F115D3">
        <w:rPr>
          <w:rFonts w:ascii="Arial" w:hAnsi="Arial" w:cs="Arial"/>
          <w:sz w:val="20"/>
          <w:szCs w:val="20"/>
        </w:rPr>
        <w:t>En cuanto a los ingresos de financiamiento la variación porcentual entre los períodos comprendidos 2016-2017 presenta un -23%, los ingresos percibidos en esta partida corresponden a los ahorros que realizan los clientes de los diferentes contratos del Sistema de Ahorro y Préstamo.</w:t>
      </w:r>
    </w:p>
    <w:p w:rsidR="00147922" w:rsidRDefault="00147922">
      <w:pPr>
        <w:rPr>
          <w:rFonts w:ascii="Arial" w:hAnsi="Arial" w:cs="Arial"/>
          <w:sz w:val="20"/>
          <w:szCs w:val="20"/>
        </w:rPr>
      </w:pPr>
    </w:p>
    <w:p w:rsidR="00A05CCB" w:rsidRPr="00F115D3" w:rsidRDefault="00A05CCB" w:rsidP="00A05CCB">
      <w:pPr>
        <w:pStyle w:val="Textoindependiente"/>
        <w:spacing w:after="0" w:line="240" w:lineRule="auto"/>
        <w:jc w:val="both"/>
        <w:rPr>
          <w:rFonts w:ascii="Arial" w:hAnsi="Arial" w:cs="Arial"/>
          <w:sz w:val="20"/>
          <w:szCs w:val="20"/>
        </w:rPr>
      </w:pPr>
      <w:r w:rsidRPr="00F115D3">
        <w:rPr>
          <w:rFonts w:ascii="Arial" w:hAnsi="Arial" w:cs="Arial"/>
          <w:sz w:val="20"/>
          <w:szCs w:val="20"/>
        </w:rPr>
        <w:t>Los siguientes gráficos muestran los ingresos estimados comparados a los ingresos percibidos en ambos períodos y con respecto al año anterior.</w:t>
      </w: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spacing w:after="0" w:line="240" w:lineRule="auto"/>
        <w:jc w:val="both"/>
        <w:rPr>
          <w:rFonts w:ascii="Arial" w:hAnsi="Arial" w:cs="Arial"/>
          <w:sz w:val="20"/>
          <w:szCs w:val="20"/>
        </w:rPr>
      </w:pPr>
      <w:r w:rsidRPr="00F115D3">
        <w:rPr>
          <w:rFonts w:ascii="Arial" w:hAnsi="Arial" w:cs="Arial"/>
          <w:noProof/>
          <w:sz w:val="20"/>
          <w:szCs w:val="20"/>
          <w:lang w:eastAsia="es-CR"/>
        </w:rPr>
        <w:lastRenderedPageBreak/>
        <w:drawing>
          <wp:inline distT="0" distB="0" distL="0" distR="0" wp14:anchorId="19F54994" wp14:editId="721464AA">
            <wp:extent cx="5459105" cy="3559077"/>
            <wp:effectExtent l="0" t="0" r="8255" b="381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60073" cy="3559708"/>
                    </a:xfrm>
                    <a:prstGeom prst="rect">
                      <a:avLst/>
                    </a:prstGeom>
                    <a:noFill/>
                    <a:ln>
                      <a:noFill/>
                    </a:ln>
                  </pic:spPr>
                </pic:pic>
              </a:graphicData>
            </a:graphic>
          </wp:inline>
        </w:drawing>
      </w:r>
    </w:p>
    <w:p w:rsidR="00A05CCB" w:rsidRPr="006A7C95" w:rsidRDefault="00A05CCB" w:rsidP="00A05CCB">
      <w:pPr>
        <w:pStyle w:val="Textoindependiente"/>
        <w:spacing w:after="0" w:line="240" w:lineRule="auto"/>
        <w:jc w:val="both"/>
        <w:rPr>
          <w:rFonts w:ascii="Arial" w:hAnsi="Arial" w:cs="Arial"/>
          <w:sz w:val="18"/>
          <w:szCs w:val="18"/>
        </w:rPr>
      </w:pPr>
      <w:r w:rsidRPr="006A7C95">
        <w:rPr>
          <w:rFonts w:ascii="Arial" w:hAnsi="Arial" w:cs="Arial"/>
          <w:sz w:val="18"/>
          <w:szCs w:val="18"/>
        </w:rPr>
        <w:t xml:space="preserve"> Fuente: Ejecución Presupuestaria –Contabilidad</w:t>
      </w:r>
    </w:p>
    <w:p w:rsidR="00A05CCB" w:rsidRPr="006A7C95" w:rsidRDefault="00A05CCB" w:rsidP="00A05CCB">
      <w:pPr>
        <w:pStyle w:val="Textoindependiente"/>
        <w:spacing w:after="0" w:line="240" w:lineRule="auto"/>
        <w:jc w:val="both"/>
        <w:rPr>
          <w:rFonts w:ascii="Arial" w:hAnsi="Arial" w:cs="Arial"/>
          <w:sz w:val="18"/>
          <w:szCs w:val="18"/>
        </w:rPr>
      </w:pPr>
      <w:r w:rsidRPr="006A7C95">
        <w:rPr>
          <w:rFonts w:ascii="Arial" w:hAnsi="Arial" w:cs="Arial"/>
          <w:sz w:val="18"/>
          <w:szCs w:val="18"/>
        </w:rPr>
        <w:t xml:space="preserve"> (1) No incluye superávit</w:t>
      </w:r>
    </w:p>
    <w:p w:rsidR="00A05CCB" w:rsidRPr="00F115D3" w:rsidRDefault="00A05CCB" w:rsidP="00A05CCB">
      <w:pPr>
        <w:pStyle w:val="Textoindependiente"/>
        <w:spacing w:after="0" w:line="240" w:lineRule="auto"/>
        <w:jc w:val="both"/>
        <w:rPr>
          <w:rFonts w:ascii="Arial" w:hAnsi="Arial" w:cs="Arial"/>
          <w:b/>
          <w:sz w:val="20"/>
          <w:szCs w:val="20"/>
        </w:rPr>
      </w:pP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spacing w:after="0" w:line="240" w:lineRule="auto"/>
        <w:jc w:val="both"/>
        <w:rPr>
          <w:rFonts w:ascii="Arial" w:hAnsi="Arial" w:cs="Arial"/>
          <w:b/>
          <w:sz w:val="20"/>
          <w:szCs w:val="20"/>
        </w:rPr>
      </w:pPr>
    </w:p>
    <w:p w:rsidR="00A05CCB" w:rsidRPr="00F115D3" w:rsidRDefault="00A05CCB" w:rsidP="00A05CCB">
      <w:pPr>
        <w:pStyle w:val="Textoindependiente"/>
        <w:spacing w:after="0" w:line="240" w:lineRule="auto"/>
        <w:jc w:val="both"/>
        <w:rPr>
          <w:rFonts w:ascii="Arial" w:hAnsi="Arial" w:cs="Arial"/>
          <w:b/>
          <w:sz w:val="20"/>
          <w:szCs w:val="20"/>
        </w:rPr>
      </w:pPr>
    </w:p>
    <w:p w:rsidR="00A05CCB" w:rsidRPr="00F115D3" w:rsidRDefault="00A05CCB" w:rsidP="00A05CCB">
      <w:pPr>
        <w:pStyle w:val="Textoindependiente"/>
        <w:spacing w:after="0" w:line="240" w:lineRule="auto"/>
        <w:jc w:val="both"/>
        <w:rPr>
          <w:rFonts w:ascii="Arial" w:hAnsi="Arial" w:cs="Arial"/>
          <w:b/>
          <w:sz w:val="20"/>
          <w:szCs w:val="20"/>
        </w:rPr>
      </w:pPr>
      <w:r w:rsidRPr="00F115D3">
        <w:rPr>
          <w:rFonts w:ascii="Arial" w:hAnsi="Arial" w:cs="Arial"/>
          <w:noProof/>
          <w:sz w:val="20"/>
          <w:szCs w:val="20"/>
          <w:lang w:eastAsia="es-CR"/>
        </w:rPr>
        <w:lastRenderedPageBreak/>
        <w:drawing>
          <wp:inline distT="0" distB="0" distL="0" distR="0" wp14:anchorId="6C04AD15" wp14:editId="0A70F4DF">
            <wp:extent cx="5610225" cy="3609975"/>
            <wp:effectExtent l="0" t="0" r="9525" b="952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610225" cy="3609975"/>
                    </a:xfrm>
                    <a:prstGeom prst="rect">
                      <a:avLst/>
                    </a:prstGeom>
                    <a:noFill/>
                    <a:ln>
                      <a:noFill/>
                    </a:ln>
                  </pic:spPr>
                </pic:pic>
              </a:graphicData>
            </a:graphic>
          </wp:inline>
        </w:drawing>
      </w:r>
    </w:p>
    <w:p w:rsidR="00A05CCB" w:rsidRPr="006A7C95" w:rsidRDefault="00A05CCB" w:rsidP="00A05CCB">
      <w:pPr>
        <w:pStyle w:val="Textoindependiente"/>
        <w:spacing w:after="0" w:line="240" w:lineRule="auto"/>
        <w:jc w:val="both"/>
        <w:rPr>
          <w:rFonts w:ascii="Arial" w:hAnsi="Arial" w:cs="Arial"/>
          <w:sz w:val="18"/>
          <w:szCs w:val="18"/>
        </w:rPr>
      </w:pPr>
      <w:r w:rsidRPr="006A7C95">
        <w:rPr>
          <w:rFonts w:ascii="Arial" w:hAnsi="Arial" w:cs="Arial"/>
          <w:sz w:val="18"/>
          <w:szCs w:val="18"/>
        </w:rPr>
        <w:t>Fuente: Ejecución Presupuestaria –Contabilidad</w:t>
      </w:r>
    </w:p>
    <w:p w:rsidR="00A05CCB" w:rsidRPr="006A7C95" w:rsidRDefault="00A05CCB" w:rsidP="00A05CCB">
      <w:pPr>
        <w:pStyle w:val="Textoindependiente"/>
        <w:spacing w:after="0" w:line="240" w:lineRule="auto"/>
        <w:jc w:val="both"/>
        <w:rPr>
          <w:rFonts w:ascii="Arial" w:hAnsi="Arial" w:cs="Arial"/>
          <w:sz w:val="18"/>
          <w:szCs w:val="18"/>
        </w:rPr>
      </w:pPr>
      <w:r w:rsidRPr="006A7C95">
        <w:rPr>
          <w:rFonts w:ascii="Arial" w:hAnsi="Arial" w:cs="Arial"/>
          <w:sz w:val="18"/>
          <w:szCs w:val="18"/>
        </w:rPr>
        <w:t xml:space="preserve"> (1) No incluye superávit</w:t>
      </w:r>
    </w:p>
    <w:p w:rsidR="00A05CCB" w:rsidRPr="00F115D3" w:rsidRDefault="00A05CCB" w:rsidP="00A05CCB">
      <w:pPr>
        <w:pStyle w:val="Textoindependiente"/>
        <w:spacing w:after="0" w:line="240" w:lineRule="auto"/>
        <w:jc w:val="both"/>
        <w:rPr>
          <w:rFonts w:ascii="Arial" w:hAnsi="Arial" w:cs="Arial"/>
          <w:b/>
          <w:sz w:val="20"/>
          <w:szCs w:val="20"/>
        </w:rPr>
      </w:pPr>
    </w:p>
    <w:p w:rsidR="00A05CCB" w:rsidRPr="00F115D3" w:rsidRDefault="00A05CCB" w:rsidP="00A05CCB">
      <w:pPr>
        <w:pStyle w:val="Textoindependiente"/>
        <w:spacing w:after="0" w:line="240" w:lineRule="auto"/>
        <w:jc w:val="both"/>
        <w:rPr>
          <w:rFonts w:ascii="Arial" w:hAnsi="Arial" w:cs="Arial"/>
          <w:b/>
          <w:sz w:val="20"/>
          <w:szCs w:val="20"/>
        </w:rPr>
      </w:pPr>
    </w:p>
    <w:p w:rsidR="00A05CCB" w:rsidRPr="00F115D3" w:rsidRDefault="00A05CCB" w:rsidP="00A05CCB">
      <w:pPr>
        <w:pStyle w:val="Textoindependiente"/>
        <w:spacing w:after="0" w:line="240" w:lineRule="auto"/>
        <w:jc w:val="both"/>
        <w:rPr>
          <w:rFonts w:ascii="Arial" w:hAnsi="Arial" w:cs="Arial"/>
          <w:b/>
          <w:sz w:val="20"/>
          <w:szCs w:val="20"/>
        </w:rPr>
      </w:pPr>
      <w:r w:rsidRPr="00F115D3">
        <w:rPr>
          <w:rFonts w:ascii="Arial" w:hAnsi="Arial" w:cs="Arial"/>
          <w:b/>
          <w:sz w:val="20"/>
          <w:szCs w:val="20"/>
        </w:rPr>
        <w:t xml:space="preserve">4.5. Principales limitaciones en la percepción de ingresos: </w:t>
      </w:r>
    </w:p>
    <w:p w:rsidR="00A05CCB" w:rsidRPr="00F115D3" w:rsidRDefault="00A05CCB" w:rsidP="00A05CCB">
      <w:pPr>
        <w:pStyle w:val="Textoindependiente"/>
        <w:spacing w:after="0" w:line="240" w:lineRule="auto"/>
        <w:jc w:val="both"/>
        <w:rPr>
          <w:rFonts w:ascii="Arial" w:hAnsi="Arial" w:cs="Arial"/>
          <w:b/>
          <w:sz w:val="20"/>
          <w:szCs w:val="20"/>
        </w:rPr>
      </w:pPr>
    </w:p>
    <w:p w:rsidR="00A05CCB" w:rsidRPr="00F115D3" w:rsidRDefault="00A05CCB" w:rsidP="00A05CCB">
      <w:pPr>
        <w:pStyle w:val="Textoindependiente"/>
        <w:spacing w:after="0" w:line="240" w:lineRule="auto"/>
        <w:jc w:val="both"/>
        <w:rPr>
          <w:rFonts w:ascii="Arial" w:hAnsi="Arial" w:cs="Arial"/>
          <w:b/>
          <w:sz w:val="20"/>
          <w:szCs w:val="20"/>
        </w:rPr>
      </w:pPr>
    </w:p>
    <w:p w:rsidR="00A05CCB" w:rsidRPr="00F115D3" w:rsidRDefault="00A05CCB" w:rsidP="00A05CCB">
      <w:pPr>
        <w:pStyle w:val="Textoindependiente"/>
        <w:spacing w:after="0" w:line="240" w:lineRule="auto"/>
        <w:jc w:val="both"/>
        <w:rPr>
          <w:rFonts w:ascii="Arial" w:hAnsi="Arial" w:cs="Arial"/>
          <w:b/>
          <w:sz w:val="20"/>
          <w:szCs w:val="20"/>
        </w:rPr>
      </w:pPr>
      <w:r w:rsidRPr="00F115D3">
        <w:rPr>
          <w:rFonts w:ascii="Arial" w:hAnsi="Arial" w:cs="Arial"/>
          <w:b/>
          <w:sz w:val="20"/>
          <w:szCs w:val="20"/>
        </w:rPr>
        <w:t>Transferencias de Capital a Instituciones Públicas (recursos asignados por el BANHVI).</w:t>
      </w:r>
    </w:p>
    <w:p w:rsidR="00A05CCB" w:rsidRPr="00F115D3" w:rsidRDefault="00A05CCB" w:rsidP="00A05CCB">
      <w:pPr>
        <w:pStyle w:val="Textoindependiente"/>
        <w:spacing w:after="0" w:line="240" w:lineRule="auto"/>
        <w:jc w:val="both"/>
        <w:rPr>
          <w:rFonts w:ascii="Arial" w:hAnsi="Arial" w:cs="Arial"/>
          <w:b/>
          <w:sz w:val="20"/>
          <w:szCs w:val="20"/>
        </w:rPr>
      </w:pPr>
    </w:p>
    <w:p w:rsidR="00A05CCB" w:rsidRPr="00F115D3" w:rsidRDefault="00A05CCB" w:rsidP="00A05CCB">
      <w:pPr>
        <w:pStyle w:val="Textoindependiente"/>
        <w:spacing w:after="0" w:line="240" w:lineRule="auto"/>
        <w:jc w:val="both"/>
        <w:rPr>
          <w:rFonts w:ascii="Arial" w:hAnsi="Arial" w:cs="Arial"/>
          <w:sz w:val="20"/>
          <w:szCs w:val="20"/>
        </w:rPr>
      </w:pPr>
      <w:r w:rsidRPr="00F115D3">
        <w:rPr>
          <w:rFonts w:ascii="Arial" w:hAnsi="Arial" w:cs="Arial"/>
          <w:sz w:val="20"/>
          <w:szCs w:val="20"/>
        </w:rPr>
        <w:t xml:space="preserve">Estos recursos son los que el BANHVI asigna para el otorgamiento de bonos individuales y los gastos de formalización de bonos y bonos Art.59, sin embargo, el proceso para tramitar los bonos se vio afectado porque el segmento de población que acude a la Institución presenta limitaciones para aplicar la normativa que respalda la concesión de bonos, aunado a que el proceso como tal involucra participación de diferentes instituciones tales como Municipalidades, CONAPAM, Colegio Federado de Ingenieros y Arquitectos, BANHVI, profesionales como ingenieros, trabajadores sociales, entre otros.  </w:t>
      </w:r>
    </w:p>
    <w:p w:rsidR="00A05CCB" w:rsidRPr="00F115D3" w:rsidRDefault="00A05CCB" w:rsidP="00A05CCB">
      <w:pPr>
        <w:pStyle w:val="Textoindependiente"/>
        <w:spacing w:after="0" w:line="240" w:lineRule="auto"/>
        <w:jc w:val="both"/>
        <w:rPr>
          <w:rFonts w:ascii="Arial" w:hAnsi="Arial" w:cs="Arial"/>
          <w:b/>
          <w:sz w:val="20"/>
          <w:szCs w:val="20"/>
        </w:rPr>
      </w:pPr>
    </w:p>
    <w:p w:rsidR="00A05CCB" w:rsidRPr="00F115D3" w:rsidRDefault="00A05CCB" w:rsidP="00A05CCB">
      <w:pPr>
        <w:pStyle w:val="Textoindependiente"/>
        <w:spacing w:after="0" w:line="240" w:lineRule="auto"/>
        <w:jc w:val="both"/>
        <w:rPr>
          <w:rFonts w:ascii="Arial" w:hAnsi="Arial" w:cs="Arial"/>
          <w:b/>
          <w:sz w:val="20"/>
          <w:szCs w:val="20"/>
        </w:rPr>
      </w:pPr>
      <w:r w:rsidRPr="00F115D3">
        <w:rPr>
          <w:rFonts w:ascii="Arial" w:hAnsi="Arial" w:cs="Arial"/>
          <w:b/>
          <w:sz w:val="20"/>
          <w:szCs w:val="20"/>
        </w:rPr>
        <w:t>Venta de Servicios Urbanismo.</w:t>
      </w:r>
    </w:p>
    <w:p w:rsidR="00A05CCB" w:rsidRPr="00F115D3" w:rsidRDefault="00A05CCB" w:rsidP="00A05CCB">
      <w:pPr>
        <w:pStyle w:val="Textoindependiente"/>
        <w:spacing w:after="0" w:line="240" w:lineRule="auto"/>
        <w:jc w:val="both"/>
        <w:rPr>
          <w:rFonts w:ascii="Arial" w:hAnsi="Arial" w:cs="Arial"/>
          <w:b/>
          <w:sz w:val="20"/>
          <w:szCs w:val="20"/>
        </w:rPr>
      </w:pPr>
    </w:p>
    <w:p w:rsidR="00A05CCB" w:rsidRPr="00F115D3" w:rsidRDefault="00A05CCB" w:rsidP="00A05CCB">
      <w:pPr>
        <w:pStyle w:val="Textoindependiente"/>
        <w:spacing w:after="0" w:line="240" w:lineRule="auto"/>
        <w:jc w:val="both"/>
        <w:rPr>
          <w:rFonts w:ascii="Arial" w:hAnsi="Arial" w:cs="Arial"/>
          <w:sz w:val="20"/>
          <w:szCs w:val="20"/>
        </w:rPr>
      </w:pPr>
      <w:r w:rsidRPr="00F115D3">
        <w:rPr>
          <w:rFonts w:ascii="Arial" w:hAnsi="Arial" w:cs="Arial"/>
          <w:sz w:val="20"/>
          <w:szCs w:val="20"/>
        </w:rPr>
        <w:t>Este ingreso responde a la demanda de los servicios que presta el Departamento de Urbanismo en revisión de planes reguladores a las municipalidades y visado de planos.</w:t>
      </w:r>
    </w:p>
    <w:p w:rsidR="00A05CCB" w:rsidRDefault="00A05CCB" w:rsidP="00A05CCB">
      <w:pPr>
        <w:pStyle w:val="Textoindependiente"/>
        <w:spacing w:after="0" w:line="240" w:lineRule="auto"/>
        <w:jc w:val="both"/>
        <w:rPr>
          <w:rFonts w:ascii="Arial" w:hAnsi="Arial" w:cs="Arial"/>
          <w:sz w:val="20"/>
          <w:szCs w:val="20"/>
        </w:rPr>
      </w:pPr>
    </w:p>
    <w:p w:rsidR="00A924FD" w:rsidRDefault="00A924FD" w:rsidP="00A05CCB">
      <w:pPr>
        <w:pStyle w:val="Textoindependiente"/>
        <w:spacing w:after="0" w:line="240" w:lineRule="auto"/>
        <w:jc w:val="both"/>
        <w:rPr>
          <w:rFonts w:ascii="Arial" w:hAnsi="Arial" w:cs="Arial"/>
          <w:sz w:val="20"/>
          <w:szCs w:val="20"/>
        </w:rPr>
      </w:pPr>
    </w:p>
    <w:p w:rsidR="00A924FD" w:rsidRDefault="00A924FD" w:rsidP="00A05CCB">
      <w:pPr>
        <w:pStyle w:val="Textoindependiente"/>
        <w:spacing w:after="0" w:line="240" w:lineRule="auto"/>
        <w:jc w:val="both"/>
        <w:rPr>
          <w:rFonts w:ascii="Arial" w:hAnsi="Arial" w:cs="Arial"/>
          <w:sz w:val="20"/>
          <w:szCs w:val="20"/>
        </w:rPr>
      </w:pPr>
    </w:p>
    <w:p w:rsidR="00A924FD" w:rsidRDefault="00A924FD" w:rsidP="00A05CCB">
      <w:pPr>
        <w:pStyle w:val="Textoindependiente"/>
        <w:spacing w:after="0" w:line="240" w:lineRule="auto"/>
        <w:jc w:val="both"/>
        <w:rPr>
          <w:rFonts w:ascii="Arial" w:hAnsi="Arial" w:cs="Arial"/>
          <w:sz w:val="20"/>
          <w:szCs w:val="20"/>
        </w:rPr>
      </w:pPr>
    </w:p>
    <w:p w:rsidR="00A924FD" w:rsidRPr="00F115D3" w:rsidRDefault="00A924FD"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spacing w:after="0" w:line="240" w:lineRule="auto"/>
        <w:jc w:val="both"/>
        <w:rPr>
          <w:rFonts w:ascii="Arial" w:hAnsi="Arial" w:cs="Arial"/>
          <w:b/>
          <w:sz w:val="20"/>
          <w:szCs w:val="20"/>
        </w:rPr>
      </w:pPr>
    </w:p>
    <w:p w:rsidR="001E2626" w:rsidRDefault="001E2626" w:rsidP="00A05CCB">
      <w:pPr>
        <w:pStyle w:val="Textoindependiente"/>
        <w:spacing w:after="0" w:line="240" w:lineRule="auto"/>
        <w:jc w:val="both"/>
        <w:rPr>
          <w:rFonts w:ascii="Arial" w:hAnsi="Arial" w:cs="Arial"/>
          <w:b/>
          <w:sz w:val="20"/>
          <w:szCs w:val="20"/>
        </w:rPr>
      </w:pPr>
    </w:p>
    <w:p w:rsidR="00A05CCB" w:rsidRPr="00F115D3" w:rsidRDefault="00A05CCB" w:rsidP="00A05CCB">
      <w:pPr>
        <w:pStyle w:val="Textoindependiente"/>
        <w:spacing w:after="0" w:line="240" w:lineRule="auto"/>
        <w:jc w:val="both"/>
        <w:rPr>
          <w:rFonts w:ascii="Arial" w:hAnsi="Arial" w:cs="Arial"/>
          <w:b/>
          <w:sz w:val="20"/>
          <w:szCs w:val="20"/>
        </w:rPr>
      </w:pPr>
      <w:r w:rsidRPr="00F115D3">
        <w:rPr>
          <w:rFonts w:ascii="Arial" w:hAnsi="Arial" w:cs="Arial"/>
          <w:b/>
          <w:sz w:val="20"/>
          <w:szCs w:val="20"/>
        </w:rPr>
        <w:t>Préstamos Directos al Sector Privado</w:t>
      </w:r>
    </w:p>
    <w:p w:rsidR="00A05CCB" w:rsidRPr="00F115D3" w:rsidRDefault="00A05CCB" w:rsidP="00A05CCB">
      <w:pPr>
        <w:pStyle w:val="Textoindependiente"/>
        <w:spacing w:after="0" w:line="240" w:lineRule="auto"/>
        <w:jc w:val="both"/>
        <w:rPr>
          <w:rFonts w:ascii="Arial" w:hAnsi="Arial" w:cs="Arial"/>
          <w:b/>
          <w:sz w:val="20"/>
          <w:szCs w:val="20"/>
        </w:rPr>
      </w:pPr>
    </w:p>
    <w:p w:rsidR="00A05CCB" w:rsidRPr="00F115D3" w:rsidRDefault="00A05CCB" w:rsidP="00A05CCB">
      <w:pPr>
        <w:pStyle w:val="Textoindependiente"/>
        <w:spacing w:after="0" w:line="240" w:lineRule="auto"/>
        <w:jc w:val="both"/>
        <w:rPr>
          <w:rFonts w:ascii="Arial" w:hAnsi="Arial" w:cs="Arial"/>
          <w:sz w:val="20"/>
          <w:szCs w:val="20"/>
        </w:rPr>
      </w:pPr>
      <w:r w:rsidRPr="00F115D3">
        <w:rPr>
          <w:rFonts w:ascii="Arial" w:hAnsi="Arial" w:cs="Arial"/>
          <w:sz w:val="20"/>
          <w:szCs w:val="20"/>
        </w:rPr>
        <w:t>Como se indicó en el punto anterior, los ingresos percibidos en esta partida corresponden a los ahorros que realizan los clientes de los diferentes contratos del Sistema de Ahorro y Préstamo, quienes en muchas ocasiones no cumplen con el ahorro mensual requerido.</w:t>
      </w:r>
    </w:p>
    <w:p w:rsidR="00A05CCB" w:rsidRPr="00F115D3" w:rsidRDefault="00A05CCB" w:rsidP="00A05CCB">
      <w:pPr>
        <w:pStyle w:val="Textoindependiente"/>
        <w:spacing w:after="0" w:line="240" w:lineRule="auto"/>
        <w:jc w:val="both"/>
        <w:rPr>
          <w:rFonts w:ascii="Arial" w:hAnsi="Arial" w:cs="Arial"/>
          <w:sz w:val="20"/>
          <w:szCs w:val="20"/>
        </w:rPr>
      </w:pPr>
      <w:r w:rsidRPr="00F115D3">
        <w:rPr>
          <w:rFonts w:ascii="Arial" w:hAnsi="Arial" w:cs="Arial"/>
          <w:sz w:val="20"/>
          <w:szCs w:val="20"/>
        </w:rPr>
        <w:t>Sin embargo, es importante indicar que se creó una estrategia de cobro que gestionará el pago oportuno por este concepto.</w:t>
      </w:r>
    </w:p>
    <w:p w:rsidR="00A05CCB" w:rsidRPr="00F115D3" w:rsidRDefault="00A05CCB" w:rsidP="00A05CCB">
      <w:pPr>
        <w:pStyle w:val="Textoindependiente"/>
        <w:spacing w:after="0" w:line="240" w:lineRule="auto"/>
        <w:jc w:val="both"/>
        <w:rPr>
          <w:rFonts w:ascii="Arial" w:hAnsi="Arial" w:cs="Arial"/>
          <w:b/>
          <w:sz w:val="20"/>
          <w:szCs w:val="20"/>
        </w:rPr>
      </w:pPr>
    </w:p>
    <w:p w:rsidR="00A05CCB" w:rsidRPr="00F115D3" w:rsidRDefault="00A05CCB" w:rsidP="00A05CCB">
      <w:pPr>
        <w:pStyle w:val="Textoindependiente"/>
        <w:spacing w:after="0" w:line="240" w:lineRule="auto"/>
        <w:jc w:val="both"/>
        <w:rPr>
          <w:rFonts w:ascii="Arial" w:hAnsi="Arial" w:cs="Arial"/>
          <w:b/>
          <w:sz w:val="20"/>
          <w:szCs w:val="20"/>
        </w:rPr>
      </w:pPr>
    </w:p>
    <w:p w:rsidR="00A05CCB" w:rsidRPr="00F115D3" w:rsidRDefault="00A05CCB" w:rsidP="00A05CCB">
      <w:pPr>
        <w:pStyle w:val="Textoindependiente"/>
        <w:spacing w:after="0" w:line="240" w:lineRule="auto"/>
        <w:jc w:val="both"/>
        <w:rPr>
          <w:rFonts w:ascii="Arial" w:hAnsi="Arial" w:cs="Arial"/>
          <w:b/>
          <w:sz w:val="20"/>
          <w:szCs w:val="20"/>
        </w:rPr>
      </w:pPr>
      <w:r w:rsidRPr="00F115D3">
        <w:rPr>
          <w:rFonts w:ascii="Arial" w:hAnsi="Arial" w:cs="Arial"/>
          <w:b/>
          <w:sz w:val="20"/>
          <w:szCs w:val="20"/>
        </w:rPr>
        <w:t xml:space="preserve">5. Análisis Presupuestario de Egresos </w:t>
      </w:r>
    </w:p>
    <w:p w:rsidR="00A05CCB" w:rsidRPr="00F115D3" w:rsidRDefault="00A05CCB" w:rsidP="00A05CCB">
      <w:pPr>
        <w:pStyle w:val="Textoindependiente"/>
        <w:spacing w:after="0" w:line="240" w:lineRule="auto"/>
        <w:jc w:val="both"/>
        <w:rPr>
          <w:rFonts w:ascii="Arial" w:hAnsi="Arial" w:cs="Arial"/>
          <w:b/>
          <w:sz w:val="20"/>
          <w:szCs w:val="20"/>
        </w:rPr>
      </w:pPr>
    </w:p>
    <w:p w:rsidR="00A05CCB" w:rsidRPr="00F115D3" w:rsidRDefault="00A05CCB" w:rsidP="00A05CCB">
      <w:pPr>
        <w:pStyle w:val="Textoindependiente"/>
        <w:spacing w:after="0" w:line="240" w:lineRule="auto"/>
        <w:jc w:val="both"/>
        <w:rPr>
          <w:rFonts w:ascii="Arial" w:hAnsi="Arial" w:cs="Arial"/>
          <w:b/>
          <w:sz w:val="20"/>
          <w:szCs w:val="20"/>
        </w:rPr>
      </w:pPr>
      <w:r w:rsidRPr="00F115D3">
        <w:rPr>
          <w:rFonts w:ascii="Arial" w:hAnsi="Arial" w:cs="Arial"/>
          <w:b/>
          <w:sz w:val="20"/>
          <w:szCs w:val="20"/>
        </w:rPr>
        <w:t xml:space="preserve">5.1 Estructura de los gastos presupuestados 2017: </w:t>
      </w:r>
    </w:p>
    <w:p w:rsidR="00A05CCB" w:rsidRPr="00F115D3" w:rsidRDefault="00A05CCB" w:rsidP="00A05CCB">
      <w:pPr>
        <w:pStyle w:val="Textoindependiente"/>
        <w:spacing w:after="0" w:line="240" w:lineRule="auto"/>
        <w:jc w:val="both"/>
        <w:rPr>
          <w:rFonts w:ascii="Arial" w:hAnsi="Arial" w:cs="Arial"/>
          <w:b/>
          <w:sz w:val="20"/>
          <w:szCs w:val="20"/>
        </w:rPr>
      </w:pPr>
    </w:p>
    <w:p w:rsidR="00A05CCB" w:rsidRPr="00F115D3" w:rsidRDefault="00A05CCB" w:rsidP="00A05CCB">
      <w:pPr>
        <w:pStyle w:val="Textoindependiente"/>
        <w:spacing w:after="0" w:line="240" w:lineRule="auto"/>
        <w:jc w:val="both"/>
        <w:rPr>
          <w:rFonts w:ascii="Arial" w:hAnsi="Arial" w:cs="Arial"/>
          <w:b/>
          <w:sz w:val="20"/>
          <w:szCs w:val="20"/>
        </w:rPr>
      </w:pPr>
    </w:p>
    <w:p w:rsidR="00A05CCB" w:rsidRPr="00F115D3" w:rsidRDefault="00A05CCB" w:rsidP="00A05CCB">
      <w:pPr>
        <w:pStyle w:val="Textoindependiente"/>
        <w:spacing w:after="0" w:line="240" w:lineRule="auto"/>
        <w:jc w:val="both"/>
        <w:rPr>
          <w:rFonts w:ascii="Arial" w:hAnsi="Arial" w:cs="Arial"/>
          <w:sz w:val="20"/>
          <w:szCs w:val="20"/>
        </w:rPr>
      </w:pPr>
      <w:r w:rsidRPr="00F115D3">
        <w:rPr>
          <w:rFonts w:ascii="Arial" w:hAnsi="Arial" w:cs="Arial"/>
          <w:sz w:val="20"/>
          <w:szCs w:val="20"/>
        </w:rPr>
        <w:t>En el siguiente cuadro se detalla la estructura de los egresos estimados para el período 2017 por programa presupuestario, así como la participación relativa de cada partida de ese programa, dentro del total presupuestado.</w:t>
      </w:r>
    </w:p>
    <w:p w:rsidR="00A05CCB" w:rsidRPr="00F115D3" w:rsidRDefault="00A05CCB" w:rsidP="00A05CCB">
      <w:pPr>
        <w:pStyle w:val="Textoindependiente"/>
        <w:spacing w:after="0" w:line="240" w:lineRule="auto"/>
        <w:jc w:val="both"/>
        <w:rPr>
          <w:rFonts w:ascii="Arial" w:hAnsi="Arial" w:cs="Arial"/>
          <w:b/>
          <w:sz w:val="20"/>
          <w:szCs w:val="20"/>
        </w:rPr>
      </w:pPr>
    </w:p>
    <w:p w:rsidR="00A05CCB" w:rsidRPr="00F115D3" w:rsidRDefault="00A05CCB" w:rsidP="00A05CCB">
      <w:pPr>
        <w:pStyle w:val="Textoindependiente"/>
        <w:spacing w:after="0" w:line="240" w:lineRule="auto"/>
        <w:jc w:val="both"/>
        <w:rPr>
          <w:rFonts w:ascii="Arial" w:hAnsi="Arial" w:cs="Arial"/>
          <w:sz w:val="20"/>
          <w:szCs w:val="20"/>
        </w:rPr>
      </w:pPr>
      <w:r w:rsidRPr="00F115D3">
        <w:rPr>
          <w:rFonts w:ascii="Arial" w:hAnsi="Arial" w:cs="Arial"/>
          <w:noProof/>
          <w:sz w:val="20"/>
          <w:szCs w:val="20"/>
          <w:lang w:eastAsia="es-CR"/>
        </w:rPr>
        <w:drawing>
          <wp:inline distT="0" distB="0" distL="0" distR="0" wp14:anchorId="62CC3F7A" wp14:editId="50AC2441">
            <wp:extent cx="6105525" cy="1619250"/>
            <wp:effectExtent l="0" t="0" r="9525"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105525" cy="1619250"/>
                    </a:xfrm>
                    <a:prstGeom prst="rect">
                      <a:avLst/>
                    </a:prstGeom>
                    <a:noFill/>
                    <a:ln>
                      <a:noFill/>
                    </a:ln>
                  </pic:spPr>
                </pic:pic>
              </a:graphicData>
            </a:graphic>
          </wp:inline>
        </w:drawing>
      </w:r>
    </w:p>
    <w:p w:rsidR="00A05CCB" w:rsidRPr="006A7C95" w:rsidRDefault="00A05CCB" w:rsidP="00A05CCB">
      <w:pPr>
        <w:pStyle w:val="Textoindependiente"/>
        <w:spacing w:after="0" w:line="240" w:lineRule="auto"/>
        <w:jc w:val="both"/>
        <w:rPr>
          <w:rFonts w:ascii="Arial" w:hAnsi="Arial" w:cs="Arial"/>
          <w:sz w:val="18"/>
          <w:szCs w:val="18"/>
        </w:rPr>
      </w:pPr>
      <w:r w:rsidRPr="006A7C95">
        <w:rPr>
          <w:rFonts w:ascii="Arial" w:hAnsi="Arial" w:cs="Arial"/>
          <w:sz w:val="18"/>
          <w:szCs w:val="18"/>
        </w:rPr>
        <w:t>Fuente: Planificación y Ejecución Presupuestaria</w:t>
      </w: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spacing w:after="0" w:line="240" w:lineRule="auto"/>
        <w:jc w:val="both"/>
        <w:rPr>
          <w:rFonts w:ascii="Arial" w:hAnsi="Arial" w:cs="Arial"/>
          <w:sz w:val="20"/>
          <w:szCs w:val="20"/>
        </w:rPr>
      </w:pPr>
      <w:r w:rsidRPr="00F115D3">
        <w:rPr>
          <w:rFonts w:ascii="Arial" w:hAnsi="Arial" w:cs="Arial"/>
          <w:sz w:val="20"/>
          <w:szCs w:val="20"/>
        </w:rPr>
        <w:t>Según el cuadro anterior el mayor porcentaje del presupuesto se distribuye en los programas sustantivos, con un 93%, primordialmente en el Programa No.4 que representa un 82%, mientras que el Programa de Administración y Apoyo, representa un 7% del total presupuestado.</w:t>
      </w:r>
    </w:p>
    <w:p w:rsidR="00A05CCB" w:rsidRPr="00F115D3" w:rsidRDefault="00A05CCB" w:rsidP="00A05CCB">
      <w:pPr>
        <w:pStyle w:val="Textoindependiente"/>
        <w:spacing w:after="0" w:line="240" w:lineRule="auto"/>
        <w:jc w:val="both"/>
        <w:rPr>
          <w:rFonts w:ascii="Arial" w:hAnsi="Arial" w:cs="Arial"/>
          <w:sz w:val="20"/>
          <w:szCs w:val="20"/>
        </w:rPr>
      </w:pPr>
    </w:p>
    <w:p w:rsidR="00147922" w:rsidRDefault="00147922">
      <w:pPr>
        <w:rPr>
          <w:rFonts w:ascii="Arial" w:hAnsi="Arial" w:cs="Arial"/>
          <w:sz w:val="20"/>
          <w:szCs w:val="20"/>
        </w:rPr>
      </w:pPr>
      <w:r>
        <w:rPr>
          <w:rFonts w:ascii="Arial" w:hAnsi="Arial" w:cs="Arial"/>
          <w:sz w:val="20"/>
          <w:szCs w:val="20"/>
        </w:rPr>
        <w:br w:type="page"/>
      </w:r>
    </w:p>
    <w:p w:rsidR="00147922" w:rsidRDefault="00147922"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spacing w:after="0" w:line="240" w:lineRule="auto"/>
        <w:jc w:val="both"/>
        <w:rPr>
          <w:rFonts w:ascii="Arial" w:hAnsi="Arial" w:cs="Arial"/>
          <w:sz w:val="20"/>
          <w:szCs w:val="20"/>
        </w:rPr>
      </w:pPr>
      <w:r w:rsidRPr="00F115D3">
        <w:rPr>
          <w:rFonts w:ascii="Arial" w:hAnsi="Arial" w:cs="Arial"/>
          <w:sz w:val="20"/>
          <w:szCs w:val="20"/>
        </w:rPr>
        <w:t>El siguiente gráfico muestra la participación porcentual de los egresos presupuestados para el 2017:</w:t>
      </w: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spacing w:after="0" w:line="240" w:lineRule="auto"/>
        <w:jc w:val="both"/>
        <w:rPr>
          <w:rFonts w:ascii="Arial" w:hAnsi="Arial" w:cs="Arial"/>
          <w:sz w:val="20"/>
          <w:szCs w:val="20"/>
        </w:rPr>
      </w:pPr>
      <w:r w:rsidRPr="00F115D3">
        <w:rPr>
          <w:rFonts w:ascii="Arial" w:hAnsi="Arial" w:cs="Arial"/>
          <w:noProof/>
          <w:sz w:val="20"/>
          <w:szCs w:val="20"/>
          <w:lang w:eastAsia="es-CR"/>
        </w:rPr>
        <w:drawing>
          <wp:inline distT="0" distB="0" distL="0" distR="0" wp14:anchorId="7865E45C" wp14:editId="77F6A4AA">
            <wp:extent cx="5610225" cy="5381625"/>
            <wp:effectExtent l="0" t="0" r="9525" b="952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610225" cy="5381625"/>
                    </a:xfrm>
                    <a:prstGeom prst="rect">
                      <a:avLst/>
                    </a:prstGeom>
                    <a:noFill/>
                    <a:ln>
                      <a:noFill/>
                    </a:ln>
                  </pic:spPr>
                </pic:pic>
              </a:graphicData>
            </a:graphic>
          </wp:inline>
        </w:drawing>
      </w:r>
    </w:p>
    <w:p w:rsidR="00A05CCB" w:rsidRPr="00F115D3" w:rsidRDefault="00A05CCB" w:rsidP="00A05CCB">
      <w:pPr>
        <w:pStyle w:val="Textoindependiente"/>
        <w:spacing w:after="0" w:line="240" w:lineRule="auto"/>
        <w:jc w:val="both"/>
        <w:rPr>
          <w:rFonts w:ascii="Arial" w:hAnsi="Arial" w:cs="Arial"/>
          <w:b/>
          <w:sz w:val="20"/>
          <w:szCs w:val="20"/>
        </w:rPr>
      </w:pPr>
      <w:r w:rsidRPr="00F115D3">
        <w:rPr>
          <w:rFonts w:ascii="Arial" w:hAnsi="Arial" w:cs="Arial"/>
          <w:b/>
          <w:sz w:val="20"/>
          <w:szCs w:val="20"/>
        </w:rPr>
        <w:t>Fuente: Planificación</w:t>
      </w: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spacing w:after="0" w:line="240" w:lineRule="auto"/>
        <w:jc w:val="both"/>
        <w:rPr>
          <w:rFonts w:ascii="Arial" w:hAnsi="Arial" w:cs="Arial"/>
          <w:b/>
          <w:sz w:val="20"/>
          <w:szCs w:val="20"/>
        </w:rPr>
      </w:pPr>
      <w:r w:rsidRPr="00F115D3">
        <w:rPr>
          <w:rFonts w:ascii="Arial" w:hAnsi="Arial" w:cs="Arial"/>
          <w:b/>
          <w:sz w:val="20"/>
          <w:szCs w:val="20"/>
        </w:rPr>
        <w:t>5.2 Ejecución Presupuestaria de Egresos por Programa Presupuestario</w:t>
      </w:r>
    </w:p>
    <w:p w:rsidR="00A05CCB" w:rsidRPr="00F115D3" w:rsidRDefault="00A05CCB" w:rsidP="00A05CCB">
      <w:pPr>
        <w:pStyle w:val="Textoindependiente"/>
        <w:spacing w:after="0" w:line="240" w:lineRule="auto"/>
        <w:jc w:val="both"/>
        <w:rPr>
          <w:rFonts w:ascii="Arial" w:hAnsi="Arial" w:cs="Arial"/>
          <w:b/>
          <w:sz w:val="20"/>
          <w:szCs w:val="20"/>
        </w:rPr>
      </w:pPr>
    </w:p>
    <w:p w:rsidR="00A05CCB" w:rsidRPr="00F115D3" w:rsidRDefault="00A05CCB" w:rsidP="00A05CCB">
      <w:pPr>
        <w:pStyle w:val="Textoindependiente"/>
        <w:spacing w:after="0" w:line="240" w:lineRule="auto"/>
        <w:jc w:val="both"/>
        <w:rPr>
          <w:rFonts w:ascii="Arial" w:hAnsi="Arial" w:cs="Arial"/>
          <w:sz w:val="20"/>
          <w:szCs w:val="20"/>
        </w:rPr>
      </w:pPr>
      <w:r w:rsidRPr="00F115D3">
        <w:rPr>
          <w:rFonts w:ascii="Arial" w:hAnsi="Arial" w:cs="Arial"/>
          <w:sz w:val="20"/>
          <w:szCs w:val="20"/>
        </w:rPr>
        <w:t>A continuación, se presenta los gastos presupuestados por partida y su respectiva ejecución:</w:t>
      </w: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spacing w:after="0" w:line="240" w:lineRule="auto"/>
        <w:jc w:val="both"/>
        <w:rPr>
          <w:rFonts w:ascii="Arial" w:hAnsi="Arial" w:cs="Arial"/>
          <w:sz w:val="20"/>
          <w:szCs w:val="20"/>
        </w:rPr>
      </w:pPr>
      <w:r w:rsidRPr="00F115D3">
        <w:rPr>
          <w:rFonts w:ascii="Arial" w:hAnsi="Arial" w:cs="Arial"/>
          <w:noProof/>
          <w:sz w:val="20"/>
          <w:szCs w:val="20"/>
          <w:lang w:eastAsia="es-CR"/>
        </w:rPr>
        <w:drawing>
          <wp:inline distT="0" distB="0" distL="0" distR="0" wp14:anchorId="5B6388D3" wp14:editId="1484DE2C">
            <wp:extent cx="5610225" cy="3981450"/>
            <wp:effectExtent l="0" t="0" r="9525"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610225" cy="3981450"/>
                    </a:xfrm>
                    <a:prstGeom prst="rect">
                      <a:avLst/>
                    </a:prstGeom>
                    <a:noFill/>
                    <a:ln>
                      <a:noFill/>
                    </a:ln>
                  </pic:spPr>
                </pic:pic>
              </a:graphicData>
            </a:graphic>
          </wp:inline>
        </w:drawing>
      </w: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spacing w:after="0" w:line="240" w:lineRule="auto"/>
        <w:jc w:val="both"/>
        <w:rPr>
          <w:rFonts w:ascii="Arial" w:hAnsi="Arial" w:cs="Arial"/>
          <w:sz w:val="20"/>
          <w:szCs w:val="20"/>
        </w:rPr>
      </w:pPr>
      <w:r w:rsidRPr="00F115D3">
        <w:rPr>
          <w:rFonts w:ascii="Arial" w:hAnsi="Arial" w:cs="Arial"/>
          <w:sz w:val="20"/>
          <w:szCs w:val="20"/>
        </w:rPr>
        <w:t>A continuación, se detallan las partidas más relevantes de acuerdo a lo expuesto en el cuadro anterior:</w:t>
      </w: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spacing w:after="0" w:line="240" w:lineRule="auto"/>
        <w:jc w:val="both"/>
        <w:rPr>
          <w:rFonts w:ascii="Arial" w:hAnsi="Arial" w:cs="Arial"/>
          <w:sz w:val="20"/>
          <w:szCs w:val="20"/>
        </w:rPr>
      </w:pPr>
      <w:r w:rsidRPr="00F115D3">
        <w:rPr>
          <w:rFonts w:ascii="Arial" w:hAnsi="Arial" w:cs="Arial"/>
          <w:sz w:val="20"/>
          <w:szCs w:val="20"/>
        </w:rPr>
        <w:t>a) Remuneraciones: con un 90 % del total presupuestado para dicha partida.</w:t>
      </w: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spacing w:after="0" w:line="240" w:lineRule="auto"/>
        <w:jc w:val="both"/>
        <w:rPr>
          <w:rFonts w:ascii="Arial" w:hAnsi="Arial" w:cs="Arial"/>
          <w:sz w:val="20"/>
          <w:szCs w:val="20"/>
        </w:rPr>
      </w:pPr>
      <w:r w:rsidRPr="00F115D3">
        <w:rPr>
          <w:rFonts w:ascii="Arial" w:hAnsi="Arial" w:cs="Arial"/>
          <w:sz w:val="20"/>
          <w:szCs w:val="20"/>
        </w:rPr>
        <w:t>b) Activos Financieros: ejecutó un 54% del monto presupuestado que corresponde a las erogaciones consignadas a la concesión de créditos del Sistema de Ahorro y Préstamo, clase media e interés Social. Como se mostró en el Gráfico No.4 esta partida tenía una participación porcentual muy representativa de un 40 % del presupuesto, alcanzando únicamente un 22% de ejecución de esa participación.</w:t>
      </w: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spacing w:after="0" w:line="240" w:lineRule="auto"/>
        <w:jc w:val="both"/>
        <w:rPr>
          <w:rFonts w:ascii="Arial" w:hAnsi="Arial" w:cs="Arial"/>
          <w:sz w:val="20"/>
          <w:szCs w:val="20"/>
        </w:rPr>
      </w:pPr>
      <w:r w:rsidRPr="00F115D3">
        <w:rPr>
          <w:rFonts w:ascii="Arial" w:hAnsi="Arial" w:cs="Arial"/>
          <w:sz w:val="20"/>
          <w:szCs w:val="20"/>
        </w:rPr>
        <w:t>c) Servicios: se ejecutó un 47% del monto presupuestado, el gasto más representativo de esta partida son los “Servicios de Gestión y Apoyo, que representan un 32% del monto presupuestado y de la cual solamente se ejecutó un 14%.</w:t>
      </w: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spacing w:after="0" w:line="240" w:lineRule="auto"/>
        <w:jc w:val="both"/>
        <w:rPr>
          <w:rFonts w:ascii="Arial" w:hAnsi="Arial" w:cs="Arial"/>
          <w:sz w:val="20"/>
          <w:szCs w:val="20"/>
        </w:rPr>
      </w:pPr>
      <w:r w:rsidRPr="00F115D3">
        <w:rPr>
          <w:rFonts w:ascii="Arial" w:hAnsi="Arial" w:cs="Arial"/>
          <w:sz w:val="20"/>
          <w:szCs w:val="20"/>
        </w:rPr>
        <w:lastRenderedPageBreak/>
        <w:t>d) Bienes Duraderos: Con una ejecución de un 2% del monto estimado para esta partida, dentro de la misma se encuentran las siguientes subpartidas:</w:t>
      </w: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numPr>
          <w:ilvl w:val="0"/>
          <w:numId w:val="21"/>
        </w:numPr>
        <w:spacing w:after="0" w:line="240" w:lineRule="auto"/>
        <w:jc w:val="both"/>
        <w:rPr>
          <w:rFonts w:ascii="Arial" w:hAnsi="Arial" w:cs="Arial"/>
          <w:sz w:val="20"/>
          <w:szCs w:val="20"/>
        </w:rPr>
      </w:pPr>
      <w:r w:rsidRPr="00F115D3">
        <w:rPr>
          <w:rFonts w:ascii="Arial" w:hAnsi="Arial" w:cs="Arial"/>
          <w:sz w:val="20"/>
          <w:szCs w:val="20"/>
        </w:rPr>
        <w:t>Obras urbanísticas, se estimó desarrollar dos proyectos: Premio Nobel, este proyecto no entró a la etapa de ejecución, pero sin embargo se aprobó la adjudicación de la empresa y fue remitido para su refrendo a la Contraloría General de la República, en este momento se están atendiendo consultas de ese ente Contralor.</w:t>
      </w: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numPr>
          <w:ilvl w:val="0"/>
          <w:numId w:val="21"/>
        </w:numPr>
        <w:spacing w:after="0" w:line="240" w:lineRule="auto"/>
        <w:jc w:val="both"/>
        <w:rPr>
          <w:rFonts w:ascii="Arial" w:hAnsi="Arial" w:cs="Arial"/>
          <w:sz w:val="20"/>
          <w:szCs w:val="20"/>
        </w:rPr>
      </w:pPr>
      <w:r w:rsidRPr="00F115D3">
        <w:rPr>
          <w:rFonts w:ascii="Arial" w:hAnsi="Arial" w:cs="Arial"/>
          <w:sz w:val="20"/>
          <w:szCs w:val="20"/>
        </w:rPr>
        <w:t xml:space="preserve">Finca Boschini: no se ejecutaron las obras de estabilización del Talud </w:t>
      </w:r>
      <w:r w:rsidRPr="00F115D3">
        <w:rPr>
          <w:rFonts w:ascii="Arial" w:hAnsi="Arial" w:cs="Arial"/>
          <w:bCs/>
          <w:sz w:val="20"/>
          <w:szCs w:val="20"/>
          <w:lang w:eastAsia="es-CR"/>
        </w:rPr>
        <w:t>porque la Municipalidad de Alajuelita</w:t>
      </w:r>
      <w:r w:rsidRPr="00F115D3">
        <w:rPr>
          <w:rFonts w:ascii="Arial" w:hAnsi="Arial" w:cs="Arial"/>
          <w:sz w:val="20"/>
          <w:szCs w:val="20"/>
        </w:rPr>
        <w:t xml:space="preserve"> no ha aprobado el desfogue pluvial, que es requisito indispensable solicitado por la Secretaría Técnica Nacional Ambiental (SETENA) para la aprobación de la viabilidad ambiental del proyecto completo.</w:t>
      </w: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numPr>
          <w:ilvl w:val="0"/>
          <w:numId w:val="21"/>
        </w:numPr>
        <w:spacing w:after="0" w:line="240" w:lineRule="auto"/>
        <w:jc w:val="both"/>
        <w:rPr>
          <w:rFonts w:ascii="Arial" w:hAnsi="Arial" w:cs="Arial"/>
          <w:sz w:val="20"/>
          <w:szCs w:val="20"/>
        </w:rPr>
      </w:pPr>
      <w:r w:rsidRPr="00F115D3">
        <w:rPr>
          <w:rFonts w:ascii="Arial" w:hAnsi="Arial" w:cs="Arial"/>
          <w:sz w:val="20"/>
          <w:szCs w:val="20"/>
        </w:rPr>
        <w:t>Compra de Terrenos: La compra de terrenos que estaba programada en Alajuela y Garabito, Puntarenas, no se realizó porque los terrenos ofertados no han cumplido con el perfil definido por la Institución.</w:t>
      </w: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spacing w:after="0" w:line="240" w:lineRule="auto"/>
        <w:jc w:val="both"/>
        <w:rPr>
          <w:rFonts w:ascii="Arial" w:hAnsi="Arial" w:cs="Arial"/>
          <w:sz w:val="20"/>
          <w:szCs w:val="20"/>
        </w:rPr>
      </w:pPr>
      <w:r w:rsidRPr="00F115D3">
        <w:rPr>
          <w:rFonts w:ascii="Arial" w:hAnsi="Arial" w:cs="Arial"/>
          <w:sz w:val="20"/>
          <w:szCs w:val="20"/>
        </w:rPr>
        <w:t xml:space="preserve"> </w:t>
      </w:r>
    </w:p>
    <w:p w:rsidR="00A05CCB" w:rsidRPr="00F115D3" w:rsidRDefault="00A05CCB" w:rsidP="00A05CCB">
      <w:pPr>
        <w:pStyle w:val="Textoindependiente"/>
        <w:spacing w:after="0" w:line="240" w:lineRule="auto"/>
        <w:jc w:val="both"/>
        <w:rPr>
          <w:rFonts w:ascii="Arial" w:hAnsi="Arial" w:cs="Arial"/>
          <w:sz w:val="20"/>
          <w:szCs w:val="20"/>
        </w:rPr>
      </w:pPr>
      <w:r w:rsidRPr="00F115D3">
        <w:rPr>
          <w:rFonts w:ascii="Arial" w:hAnsi="Arial" w:cs="Arial"/>
          <w:sz w:val="20"/>
          <w:szCs w:val="20"/>
        </w:rPr>
        <w:t xml:space="preserve">e) Transferencias de Capital: con una ejecución de únicamente un 2%, corresponde a la colocación de bonos ordinarios y gastos de formalización que paga el BANHVI por los bonos y proyectos Art. 59, sin embargo, es necesario indicar que la colocación de bonos se ve afectada por: </w:t>
      </w: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numPr>
          <w:ilvl w:val="0"/>
          <w:numId w:val="22"/>
        </w:numPr>
        <w:spacing w:after="0" w:line="240" w:lineRule="auto"/>
        <w:jc w:val="both"/>
        <w:rPr>
          <w:rFonts w:ascii="Arial" w:hAnsi="Arial" w:cs="Arial"/>
          <w:sz w:val="20"/>
          <w:szCs w:val="20"/>
        </w:rPr>
      </w:pPr>
      <w:r w:rsidRPr="00F115D3">
        <w:rPr>
          <w:rFonts w:ascii="Arial" w:hAnsi="Arial" w:cs="Arial"/>
          <w:sz w:val="20"/>
          <w:szCs w:val="20"/>
        </w:rPr>
        <w:t>La población que solicita bonos corresponde con al segmento de extrema necesidad y no cuenta con lote ni recursos para el pago de gastos adicionales.</w:t>
      </w:r>
    </w:p>
    <w:p w:rsidR="00A05CCB" w:rsidRPr="00F115D3" w:rsidRDefault="00A05CCB" w:rsidP="00A05CCB">
      <w:pPr>
        <w:pStyle w:val="Textoindependiente"/>
        <w:numPr>
          <w:ilvl w:val="0"/>
          <w:numId w:val="22"/>
        </w:numPr>
        <w:spacing w:after="0" w:line="240" w:lineRule="auto"/>
        <w:jc w:val="both"/>
        <w:rPr>
          <w:rFonts w:ascii="Arial" w:hAnsi="Arial" w:cs="Arial"/>
          <w:sz w:val="20"/>
          <w:szCs w:val="20"/>
        </w:rPr>
      </w:pPr>
      <w:r w:rsidRPr="00F115D3">
        <w:rPr>
          <w:rFonts w:ascii="Arial" w:hAnsi="Arial" w:cs="Arial"/>
          <w:sz w:val="20"/>
          <w:szCs w:val="20"/>
        </w:rPr>
        <w:t>La restricción de BANHVI durante el año 2016</w:t>
      </w:r>
    </w:p>
    <w:p w:rsidR="00A05CCB" w:rsidRPr="00F115D3" w:rsidRDefault="00A05CCB" w:rsidP="00A05CCB">
      <w:pPr>
        <w:pStyle w:val="Textoindependiente"/>
        <w:numPr>
          <w:ilvl w:val="0"/>
          <w:numId w:val="22"/>
        </w:numPr>
        <w:spacing w:after="0" w:line="240" w:lineRule="auto"/>
        <w:jc w:val="both"/>
        <w:rPr>
          <w:rFonts w:ascii="Arial" w:hAnsi="Arial" w:cs="Arial"/>
          <w:sz w:val="20"/>
          <w:szCs w:val="20"/>
        </w:rPr>
      </w:pPr>
      <w:r w:rsidRPr="00F115D3">
        <w:rPr>
          <w:rFonts w:ascii="Arial" w:hAnsi="Arial" w:cs="Arial"/>
          <w:sz w:val="20"/>
          <w:szCs w:val="20"/>
        </w:rPr>
        <w:t>Los casos tramitados al amparo del artículo 59, requieren aprobación de la Junta Directiva del BANHVI</w:t>
      </w:r>
    </w:p>
    <w:p w:rsidR="00A05CCB" w:rsidRPr="00F115D3" w:rsidRDefault="00A05CCB" w:rsidP="00A05CCB">
      <w:pPr>
        <w:pStyle w:val="Textoindependiente"/>
        <w:numPr>
          <w:ilvl w:val="0"/>
          <w:numId w:val="22"/>
        </w:numPr>
        <w:spacing w:after="0" w:line="240" w:lineRule="auto"/>
        <w:jc w:val="both"/>
        <w:rPr>
          <w:rFonts w:ascii="Arial" w:hAnsi="Arial" w:cs="Arial"/>
          <w:sz w:val="20"/>
          <w:szCs w:val="20"/>
        </w:rPr>
      </w:pPr>
      <w:r w:rsidRPr="00F115D3">
        <w:rPr>
          <w:rFonts w:ascii="Arial" w:hAnsi="Arial" w:cs="Arial"/>
          <w:sz w:val="20"/>
          <w:szCs w:val="20"/>
        </w:rPr>
        <w:t>Se requiere la participación de profesionales e instituciones externas en el proceso.</w:t>
      </w: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spacing w:after="0" w:line="240" w:lineRule="auto"/>
        <w:jc w:val="both"/>
        <w:rPr>
          <w:rFonts w:ascii="Arial" w:hAnsi="Arial" w:cs="Arial"/>
          <w:sz w:val="20"/>
          <w:szCs w:val="20"/>
        </w:rPr>
      </w:pPr>
      <w:r w:rsidRPr="00F115D3">
        <w:rPr>
          <w:rFonts w:ascii="Arial" w:hAnsi="Arial" w:cs="Arial"/>
          <w:sz w:val="20"/>
          <w:szCs w:val="20"/>
        </w:rPr>
        <w:t xml:space="preserve">f) Amortización: esta partida tenía una participación porcentual, según Gráfico No.4 de un 25% de los gastos presupuestados totales, y la ejecución representa un 9% del presupuesto total. </w:t>
      </w: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spacing w:after="0" w:line="240" w:lineRule="auto"/>
        <w:jc w:val="both"/>
        <w:rPr>
          <w:rFonts w:ascii="Arial" w:hAnsi="Arial" w:cs="Arial"/>
          <w:sz w:val="20"/>
          <w:szCs w:val="20"/>
        </w:rPr>
      </w:pPr>
      <w:r w:rsidRPr="00F115D3">
        <w:rPr>
          <w:rFonts w:ascii="Arial" w:hAnsi="Arial" w:cs="Arial"/>
          <w:sz w:val="20"/>
          <w:szCs w:val="20"/>
        </w:rPr>
        <w:t>Esta partida corresponde a la devolución de los ahorros a los suscriptores de contratos ya sea cuando se formaliza un crédito o por renuncias.</w:t>
      </w: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spacing w:after="0" w:line="240" w:lineRule="auto"/>
        <w:jc w:val="both"/>
        <w:rPr>
          <w:rFonts w:ascii="Arial" w:hAnsi="Arial" w:cs="Arial"/>
          <w:b/>
          <w:sz w:val="20"/>
          <w:szCs w:val="20"/>
        </w:rPr>
      </w:pPr>
    </w:p>
    <w:p w:rsidR="00147922" w:rsidRDefault="00147922">
      <w:pPr>
        <w:rPr>
          <w:rFonts w:ascii="Arial" w:hAnsi="Arial" w:cs="Arial"/>
          <w:b/>
          <w:sz w:val="20"/>
          <w:szCs w:val="20"/>
        </w:rPr>
      </w:pPr>
      <w:r>
        <w:rPr>
          <w:rFonts w:ascii="Arial" w:hAnsi="Arial" w:cs="Arial"/>
          <w:b/>
          <w:sz w:val="20"/>
          <w:szCs w:val="20"/>
        </w:rPr>
        <w:br w:type="page"/>
      </w:r>
    </w:p>
    <w:p w:rsidR="00A05CCB" w:rsidRPr="00F115D3" w:rsidRDefault="00A05CCB" w:rsidP="00A05CCB">
      <w:pPr>
        <w:pStyle w:val="Textoindependiente"/>
        <w:spacing w:after="0" w:line="240" w:lineRule="auto"/>
        <w:jc w:val="both"/>
        <w:rPr>
          <w:rFonts w:ascii="Arial" w:hAnsi="Arial" w:cs="Arial"/>
          <w:b/>
          <w:sz w:val="20"/>
          <w:szCs w:val="20"/>
        </w:rPr>
      </w:pPr>
    </w:p>
    <w:p w:rsidR="00A05CCB" w:rsidRPr="00F115D3" w:rsidRDefault="00A05CCB" w:rsidP="00A05CCB">
      <w:pPr>
        <w:pStyle w:val="Textoindependiente"/>
        <w:spacing w:after="0" w:line="240" w:lineRule="auto"/>
        <w:jc w:val="both"/>
        <w:rPr>
          <w:rFonts w:ascii="Arial" w:hAnsi="Arial" w:cs="Arial"/>
          <w:b/>
          <w:sz w:val="20"/>
          <w:szCs w:val="20"/>
        </w:rPr>
      </w:pPr>
      <w:r w:rsidRPr="00F115D3">
        <w:rPr>
          <w:rFonts w:ascii="Arial" w:hAnsi="Arial" w:cs="Arial"/>
          <w:b/>
          <w:sz w:val="20"/>
          <w:szCs w:val="20"/>
        </w:rPr>
        <w:t>5.3 Gastos Presupuestados y Ejecutados INVU (sin SAP)</w:t>
      </w: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spacing w:after="0" w:line="240" w:lineRule="auto"/>
        <w:jc w:val="both"/>
        <w:rPr>
          <w:rFonts w:ascii="Arial" w:hAnsi="Arial" w:cs="Arial"/>
          <w:sz w:val="20"/>
          <w:szCs w:val="20"/>
        </w:rPr>
      </w:pPr>
      <w:r w:rsidRPr="00F115D3">
        <w:rPr>
          <w:rFonts w:ascii="Arial" w:hAnsi="Arial" w:cs="Arial"/>
          <w:sz w:val="20"/>
          <w:szCs w:val="20"/>
        </w:rPr>
        <w:t>Para ampliar sobre la ejecución presupuestaria y ya que los recursos del Sistema de Ahorro y Préstamo provienen de terceras personas, se analiza el comportamiento presupuestario excluyendo dicho Sistema:</w:t>
      </w: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spacing w:after="0" w:line="240" w:lineRule="auto"/>
        <w:jc w:val="both"/>
        <w:rPr>
          <w:rFonts w:ascii="Arial" w:hAnsi="Arial" w:cs="Arial"/>
          <w:sz w:val="20"/>
          <w:szCs w:val="20"/>
        </w:rPr>
      </w:pPr>
      <w:r w:rsidRPr="00F115D3">
        <w:rPr>
          <w:rFonts w:ascii="Arial" w:hAnsi="Arial" w:cs="Arial"/>
          <w:noProof/>
          <w:sz w:val="20"/>
          <w:szCs w:val="20"/>
          <w:lang w:eastAsia="es-CR"/>
        </w:rPr>
        <w:drawing>
          <wp:inline distT="0" distB="0" distL="0" distR="0" wp14:anchorId="32427689" wp14:editId="3ACA2DB4">
            <wp:extent cx="5610225" cy="3790950"/>
            <wp:effectExtent l="0" t="0" r="9525"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610225" cy="3790950"/>
                    </a:xfrm>
                    <a:prstGeom prst="rect">
                      <a:avLst/>
                    </a:prstGeom>
                    <a:noFill/>
                    <a:ln>
                      <a:noFill/>
                    </a:ln>
                  </pic:spPr>
                </pic:pic>
              </a:graphicData>
            </a:graphic>
          </wp:inline>
        </w:drawing>
      </w: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spacing w:after="0" w:line="240" w:lineRule="auto"/>
        <w:jc w:val="both"/>
        <w:rPr>
          <w:rFonts w:ascii="Arial" w:hAnsi="Arial" w:cs="Arial"/>
          <w:sz w:val="20"/>
          <w:szCs w:val="20"/>
        </w:rPr>
      </w:pPr>
      <w:r w:rsidRPr="00F115D3">
        <w:rPr>
          <w:rFonts w:ascii="Arial" w:hAnsi="Arial" w:cs="Arial"/>
          <w:sz w:val="20"/>
          <w:szCs w:val="20"/>
        </w:rPr>
        <w:t>Como se detalla en el cuadro anterior, la ejecución presupuestaria de INVU excluyendo el SAP, alcanzó un 25% del total presupuestado (¢22.285 millones).</w:t>
      </w: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spacing w:after="0" w:line="240" w:lineRule="auto"/>
        <w:jc w:val="both"/>
        <w:rPr>
          <w:rFonts w:ascii="Arial" w:hAnsi="Arial" w:cs="Arial"/>
          <w:sz w:val="20"/>
          <w:szCs w:val="20"/>
        </w:rPr>
      </w:pPr>
      <w:r w:rsidRPr="00F115D3">
        <w:rPr>
          <w:rFonts w:ascii="Arial" w:hAnsi="Arial" w:cs="Arial"/>
          <w:sz w:val="20"/>
          <w:szCs w:val="20"/>
        </w:rPr>
        <w:t>Las partidas más relevantes son:</w:t>
      </w: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numPr>
          <w:ilvl w:val="0"/>
          <w:numId w:val="23"/>
        </w:numPr>
        <w:spacing w:after="0" w:line="240" w:lineRule="auto"/>
        <w:jc w:val="both"/>
        <w:rPr>
          <w:rFonts w:ascii="Arial" w:hAnsi="Arial" w:cs="Arial"/>
          <w:sz w:val="20"/>
          <w:szCs w:val="20"/>
        </w:rPr>
      </w:pPr>
      <w:r w:rsidRPr="00F115D3">
        <w:rPr>
          <w:rFonts w:ascii="Arial" w:hAnsi="Arial" w:cs="Arial"/>
          <w:sz w:val="20"/>
          <w:szCs w:val="20"/>
        </w:rPr>
        <w:t>Remuneraciones: se ejecutó un 90% del total presupuestado.</w:t>
      </w: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numPr>
          <w:ilvl w:val="0"/>
          <w:numId w:val="23"/>
        </w:numPr>
        <w:spacing w:after="0" w:line="240" w:lineRule="auto"/>
        <w:jc w:val="both"/>
        <w:rPr>
          <w:rFonts w:ascii="Arial" w:hAnsi="Arial" w:cs="Arial"/>
          <w:sz w:val="20"/>
          <w:szCs w:val="20"/>
        </w:rPr>
      </w:pPr>
      <w:r w:rsidRPr="00F115D3">
        <w:rPr>
          <w:rFonts w:ascii="Arial" w:hAnsi="Arial" w:cs="Arial"/>
          <w:sz w:val="20"/>
          <w:szCs w:val="20"/>
        </w:rPr>
        <w:t>Servicios: se ejecutó un 39% del total presupuestado. La subpartida   más relevante es la de “Servicios de Gestión y Apoyo” de la cual se había estimado la suma de ¢2.318.1 millones y se ejecutaron ¢403.1 millones, que en términos porcentuales es de un 17%.</w:t>
      </w:r>
    </w:p>
    <w:p w:rsidR="00A05CCB" w:rsidRPr="00F115D3" w:rsidRDefault="00A05CCB" w:rsidP="00A05CCB">
      <w:pPr>
        <w:pStyle w:val="Prrafodelista"/>
        <w:spacing w:after="0" w:line="240" w:lineRule="auto"/>
        <w:ind w:left="0"/>
        <w:jc w:val="both"/>
        <w:rPr>
          <w:rFonts w:ascii="Arial" w:hAnsi="Arial" w:cs="Arial"/>
          <w:sz w:val="20"/>
          <w:szCs w:val="20"/>
        </w:rPr>
      </w:pPr>
    </w:p>
    <w:p w:rsidR="00A05CCB" w:rsidRPr="00F115D3" w:rsidRDefault="00A05CCB" w:rsidP="00A05CCB">
      <w:pPr>
        <w:pStyle w:val="Textoindependiente"/>
        <w:numPr>
          <w:ilvl w:val="0"/>
          <w:numId w:val="23"/>
        </w:numPr>
        <w:spacing w:after="0" w:line="240" w:lineRule="auto"/>
        <w:jc w:val="both"/>
        <w:rPr>
          <w:rFonts w:ascii="Arial" w:hAnsi="Arial" w:cs="Arial"/>
          <w:sz w:val="20"/>
          <w:szCs w:val="20"/>
        </w:rPr>
      </w:pPr>
      <w:r w:rsidRPr="00F115D3">
        <w:rPr>
          <w:rFonts w:ascii="Arial" w:hAnsi="Arial" w:cs="Arial"/>
          <w:sz w:val="20"/>
          <w:szCs w:val="20"/>
        </w:rPr>
        <w:t xml:space="preserve">Activos Financieros: se ejecutó un 22% del monto estimado (¢ 3.657.5 millones), sin embargo, es necesario indicar que de dicho monto ¢1.157.0 millones provenientes de la Ley 9016, no se ejecutaron debido a que el reglamento para el otorgamiento de los créditos está en proceso de elaboración. </w:t>
      </w: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numPr>
          <w:ilvl w:val="0"/>
          <w:numId w:val="23"/>
        </w:numPr>
        <w:spacing w:after="0" w:line="240" w:lineRule="auto"/>
        <w:jc w:val="both"/>
        <w:rPr>
          <w:rFonts w:ascii="Arial" w:hAnsi="Arial" w:cs="Arial"/>
          <w:sz w:val="20"/>
          <w:szCs w:val="20"/>
        </w:rPr>
      </w:pPr>
      <w:r w:rsidRPr="00F115D3">
        <w:rPr>
          <w:rFonts w:ascii="Arial" w:hAnsi="Arial" w:cs="Arial"/>
          <w:sz w:val="20"/>
          <w:szCs w:val="20"/>
        </w:rPr>
        <w:lastRenderedPageBreak/>
        <w:t>Bienes Duraderos: con un 2% de ejecución y los argumentos fueron indicados en el punto 5.2 de este informe.</w:t>
      </w: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spacing w:after="0" w:line="240" w:lineRule="auto"/>
        <w:jc w:val="both"/>
        <w:rPr>
          <w:rFonts w:ascii="Arial" w:hAnsi="Arial" w:cs="Arial"/>
          <w:b/>
          <w:sz w:val="20"/>
          <w:szCs w:val="20"/>
        </w:rPr>
      </w:pPr>
    </w:p>
    <w:p w:rsidR="00A05CCB" w:rsidRPr="00F115D3" w:rsidRDefault="00A05CCB" w:rsidP="00A05CCB">
      <w:pPr>
        <w:pStyle w:val="Textoindependiente"/>
        <w:spacing w:after="0" w:line="240" w:lineRule="auto"/>
        <w:jc w:val="both"/>
        <w:rPr>
          <w:rFonts w:ascii="Arial" w:hAnsi="Arial" w:cs="Arial"/>
          <w:b/>
          <w:sz w:val="20"/>
          <w:szCs w:val="20"/>
        </w:rPr>
      </w:pPr>
      <w:r w:rsidRPr="00F115D3">
        <w:rPr>
          <w:rFonts w:ascii="Arial" w:hAnsi="Arial" w:cs="Arial"/>
          <w:b/>
          <w:sz w:val="20"/>
          <w:szCs w:val="20"/>
        </w:rPr>
        <w:t>5.4 Gastos Presupuestados y Ejecutados del Sistema de Ahorro y Préstamo</w:t>
      </w:r>
    </w:p>
    <w:p w:rsidR="00A05CCB" w:rsidRPr="00F115D3" w:rsidRDefault="00A05CCB" w:rsidP="00A05CCB">
      <w:pPr>
        <w:pStyle w:val="Textoindependiente"/>
        <w:spacing w:after="0" w:line="240" w:lineRule="auto"/>
        <w:jc w:val="both"/>
        <w:rPr>
          <w:rFonts w:ascii="Arial" w:hAnsi="Arial" w:cs="Arial"/>
          <w:b/>
          <w:sz w:val="20"/>
          <w:szCs w:val="20"/>
        </w:rPr>
      </w:pPr>
    </w:p>
    <w:p w:rsidR="00A05CCB" w:rsidRPr="00F115D3" w:rsidRDefault="00A05CCB" w:rsidP="00A05CCB">
      <w:pPr>
        <w:pStyle w:val="Textoindependiente"/>
        <w:spacing w:after="0" w:line="240" w:lineRule="auto"/>
        <w:jc w:val="both"/>
        <w:rPr>
          <w:rFonts w:ascii="Arial" w:hAnsi="Arial" w:cs="Arial"/>
          <w:b/>
          <w:sz w:val="20"/>
          <w:szCs w:val="20"/>
        </w:rPr>
      </w:pPr>
    </w:p>
    <w:p w:rsidR="00A05CCB" w:rsidRPr="00F115D3" w:rsidRDefault="00A05CCB" w:rsidP="00A05CCB">
      <w:pPr>
        <w:pStyle w:val="Textoindependiente"/>
        <w:spacing w:after="0" w:line="240" w:lineRule="auto"/>
        <w:jc w:val="center"/>
        <w:rPr>
          <w:rFonts w:ascii="Arial" w:hAnsi="Arial" w:cs="Arial"/>
          <w:sz w:val="20"/>
          <w:szCs w:val="20"/>
        </w:rPr>
      </w:pPr>
      <w:r w:rsidRPr="00F115D3">
        <w:rPr>
          <w:rFonts w:ascii="Arial" w:hAnsi="Arial" w:cs="Arial"/>
          <w:noProof/>
          <w:sz w:val="20"/>
          <w:szCs w:val="20"/>
          <w:lang w:eastAsia="es-CR"/>
        </w:rPr>
        <w:drawing>
          <wp:inline distT="0" distB="0" distL="0" distR="0" wp14:anchorId="319E306B" wp14:editId="1CB43D35">
            <wp:extent cx="5057775" cy="4048125"/>
            <wp:effectExtent l="0" t="0" r="9525" b="952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057775" cy="4048125"/>
                    </a:xfrm>
                    <a:prstGeom prst="rect">
                      <a:avLst/>
                    </a:prstGeom>
                    <a:noFill/>
                    <a:ln>
                      <a:noFill/>
                    </a:ln>
                  </pic:spPr>
                </pic:pic>
              </a:graphicData>
            </a:graphic>
          </wp:inline>
        </w:drawing>
      </w: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spacing w:after="0" w:line="240" w:lineRule="auto"/>
        <w:jc w:val="both"/>
        <w:rPr>
          <w:rFonts w:ascii="Arial" w:hAnsi="Arial" w:cs="Arial"/>
          <w:sz w:val="20"/>
          <w:szCs w:val="20"/>
        </w:rPr>
      </w:pPr>
      <w:r w:rsidRPr="00F115D3">
        <w:rPr>
          <w:rFonts w:ascii="Arial" w:hAnsi="Arial" w:cs="Arial"/>
          <w:sz w:val="20"/>
          <w:szCs w:val="20"/>
        </w:rPr>
        <w:t>El cuadro anterior muestra la ejecución presupuestaria del Sistema de Ahorro y Préstamo, la cual fue de un 49% del monto estimado, a continuación, se detallan las partidas de mayor impacto:</w:t>
      </w: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numPr>
          <w:ilvl w:val="0"/>
          <w:numId w:val="24"/>
        </w:numPr>
        <w:spacing w:after="0" w:line="240" w:lineRule="auto"/>
        <w:jc w:val="both"/>
        <w:rPr>
          <w:rFonts w:ascii="Arial" w:hAnsi="Arial" w:cs="Arial"/>
          <w:sz w:val="20"/>
          <w:szCs w:val="20"/>
        </w:rPr>
      </w:pPr>
      <w:r w:rsidRPr="00F115D3">
        <w:rPr>
          <w:rFonts w:ascii="Arial" w:hAnsi="Arial" w:cs="Arial"/>
          <w:sz w:val="20"/>
          <w:szCs w:val="20"/>
        </w:rPr>
        <w:t>Remuneraciones: con una ejecución de un 91%.</w:t>
      </w: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numPr>
          <w:ilvl w:val="0"/>
          <w:numId w:val="24"/>
        </w:numPr>
        <w:spacing w:after="0" w:line="240" w:lineRule="auto"/>
        <w:jc w:val="both"/>
        <w:rPr>
          <w:rFonts w:ascii="Arial" w:hAnsi="Arial" w:cs="Arial"/>
          <w:sz w:val="20"/>
          <w:szCs w:val="20"/>
        </w:rPr>
      </w:pPr>
      <w:r w:rsidRPr="00F115D3">
        <w:rPr>
          <w:rFonts w:ascii="Arial" w:hAnsi="Arial" w:cs="Arial"/>
          <w:sz w:val="20"/>
          <w:szCs w:val="20"/>
        </w:rPr>
        <w:t>Servicios: se ejecutó un 51% del monto presupuestado, las subpartidas más relevantes dentro de esta partida son “Servicios de Gestión y Apoyo” cuya ejecución fue de un 26% (¢411.01) del monto estimado (¢1.570.4) y por comisiones se ejecutó un 68% del total presupuestado en esta subpartida.</w:t>
      </w: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numPr>
          <w:ilvl w:val="0"/>
          <w:numId w:val="24"/>
        </w:numPr>
        <w:spacing w:after="0" w:line="240" w:lineRule="auto"/>
        <w:jc w:val="both"/>
        <w:rPr>
          <w:rFonts w:ascii="Arial" w:hAnsi="Arial" w:cs="Arial"/>
          <w:sz w:val="20"/>
          <w:szCs w:val="20"/>
        </w:rPr>
      </w:pPr>
      <w:r w:rsidRPr="00F115D3">
        <w:rPr>
          <w:rFonts w:ascii="Arial" w:hAnsi="Arial" w:cs="Arial"/>
          <w:sz w:val="20"/>
          <w:szCs w:val="20"/>
        </w:rPr>
        <w:t>Activos Financieros: Se ejecutó un 59% del total presupuestado, este egreso depende de la demanda de los suscriptores con contratos maduros.</w:t>
      </w: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numPr>
          <w:ilvl w:val="0"/>
          <w:numId w:val="24"/>
        </w:numPr>
        <w:spacing w:after="0" w:line="240" w:lineRule="auto"/>
        <w:jc w:val="both"/>
        <w:rPr>
          <w:rFonts w:ascii="Arial" w:hAnsi="Arial" w:cs="Arial"/>
          <w:sz w:val="20"/>
          <w:szCs w:val="20"/>
        </w:rPr>
      </w:pPr>
      <w:r w:rsidRPr="00F115D3">
        <w:rPr>
          <w:rFonts w:ascii="Arial" w:hAnsi="Arial" w:cs="Arial"/>
          <w:sz w:val="20"/>
          <w:szCs w:val="20"/>
        </w:rPr>
        <w:t xml:space="preserve">Transferencias Corrientes: presenta una ejecución presupuestaria de un 10% del monto estimado a ejecutar, dentro de esta partida tenemos la subpartida “Otras Transferencias a </w:t>
      </w:r>
      <w:r w:rsidRPr="00F115D3">
        <w:rPr>
          <w:rFonts w:ascii="Arial" w:hAnsi="Arial" w:cs="Arial"/>
          <w:sz w:val="20"/>
          <w:szCs w:val="20"/>
        </w:rPr>
        <w:lastRenderedPageBreak/>
        <w:t>personas”, la cual se estima para el pago de comisiones a ex agentes del Sistema donde las ventas de contratos aún están vigentes, para esto se estimó un monto de ¢310.0 millones de los cuales se ejecutó únicamente ¢57.0 millones es decir un 18%.</w:t>
      </w: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numPr>
          <w:ilvl w:val="0"/>
          <w:numId w:val="24"/>
        </w:numPr>
        <w:spacing w:after="0" w:line="240" w:lineRule="auto"/>
        <w:jc w:val="both"/>
        <w:rPr>
          <w:rFonts w:ascii="Arial" w:hAnsi="Arial" w:cs="Arial"/>
          <w:sz w:val="20"/>
          <w:szCs w:val="20"/>
        </w:rPr>
      </w:pPr>
      <w:r w:rsidRPr="00F115D3">
        <w:rPr>
          <w:rFonts w:ascii="Arial" w:hAnsi="Arial" w:cs="Arial"/>
          <w:sz w:val="20"/>
          <w:szCs w:val="20"/>
        </w:rPr>
        <w:t>Amortización: con una ejecución de un 36%, esta partida se estima para la devolución de los ahorros a los clientes del Sistema, ya sea por retiro o por aplicación a un crédito, y depende de la formalización de créditos en dicho sistema contractual.</w:t>
      </w:r>
    </w:p>
    <w:p w:rsidR="00A05CCB" w:rsidRDefault="00A05CCB" w:rsidP="00A05CCB">
      <w:pPr>
        <w:pStyle w:val="Textoindependiente"/>
        <w:spacing w:after="0" w:line="240" w:lineRule="auto"/>
        <w:jc w:val="both"/>
        <w:rPr>
          <w:rFonts w:ascii="Arial" w:hAnsi="Arial" w:cs="Arial"/>
          <w:sz w:val="20"/>
          <w:szCs w:val="20"/>
        </w:rPr>
      </w:pPr>
    </w:p>
    <w:p w:rsidR="00147922" w:rsidRPr="00F115D3" w:rsidRDefault="00147922"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spacing w:after="0" w:line="240" w:lineRule="auto"/>
        <w:jc w:val="both"/>
        <w:rPr>
          <w:rFonts w:ascii="Arial" w:hAnsi="Arial" w:cs="Arial"/>
          <w:b/>
          <w:sz w:val="20"/>
          <w:szCs w:val="20"/>
        </w:rPr>
      </w:pPr>
      <w:r w:rsidRPr="00F115D3">
        <w:rPr>
          <w:rFonts w:ascii="Arial" w:hAnsi="Arial" w:cs="Arial"/>
          <w:b/>
          <w:sz w:val="20"/>
          <w:szCs w:val="20"/>
        </w:rPr>
        <w:t>5.5 Comportamiento de los Egresos 2016-2017</w:t>
      </w:r>
    </w:p>
    <w:p w:rsidR="00A05CCB" w:rsidRPr="00F115D3" w:rsidRDefault="00A05CCB" w:rsidP="00A05CCB">
      <w:pPr>
        <w:pStyle w:val="Textoindependiente"/>
        <w:spacing w:after="0" w:line="240" w:lineRule="auto"/>
        <w:jc w:val="both"/>
        <w:rPr>
          <w:rFonts w:ascii="Arial" w:hAnsi="Arial" w:cs="Arial"/>
          <w:b/>
          <w:sz w:val="20"/>
          <w:szCs w:val="20"/>
        </w:rPr>
      </w:pPr>
    </w:p>
    <w:p w:rsidR="00A05CCB" w:rsidRPr="00F115D3" w:rsidRDefault="00A05CCB" w:rsidP="00A05CCB">
      <w:pPr>
        <w:pStyle w:val="Textoindependiente"/>
        <w:spacing w:after="0" w:line="240" w:lineRule="auto"/>
        <w:jc w:val="both"/>
        <w:rPr>
          <w:rFonts w:ascii="Arial" w:hAnsi="Arial" w:cs="Arial"/>
          <w:sz w:val="20"/>
          <w:szCs w:val="20"/>
        </w:rPr>
      </w:pPr>
      <w:r w:rsidRPr="00F115D3">
        <w:rPr>
          <w:rFonts w:ascii="Arial" w:hAnsi="Arial" w:cs="Arial"/>
          <w:sz w:val="20"/>
          <w:szCs w:val="20"/>
        </w:rPr>
        <w:t>En este apartado se analizará el comportamiento de los egresos en los periodos correspondientes al 2016-2017, en cuanto a variables tales como, montos presupuestados, ingresos percibidos, variaciones presupuestarias.</w:t>
      </w: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924FD" w:rsidP="00A05CCB">
      <w:pPr>
        <w:pStyle w:val="Textoindependiente"/>
        <w:spacing w:after="0" w:line="240" w:lineRule="auto"/>
        <w:jc w:val="both"/>
        <w:rPr>
          <w:rFonts w:ascii="Arial" w:hAnsi="Arial" w:cs="Arial"/>
          <w:sz w:val="20"/>
          <w:szCs w:val="20"/>
        </w:rPr>
      </w:pPr>
      <w:r w:rsidRPr="00421570">
        <w:rPr>
          <w:noProof/>
          <w:lang w:eastAsia="es-CR"/>
        </w:rPr>
        <w:drawing>
          <wp:inline distT="0" distB="0" distL="0" distR="0" wp14:anchorId="1ED9A191" wp14:editId="1E17F678">
            <wp:extent cx="6208984" cy="2949934"/>
            <wp:effectExtent l="0" t="0" r="1905" b="317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216818" cy="2953656"/>
                    </a:xfrm>
                    <a:prstGeom prst="rect">
                      <a:avLst/>
                    </a:prstGeom>
                    <a:noFill/>
                    <a:ln>
                      <a:noFill/>
                    </a:ln>
                  </pic:spPr>
                </pic:pic>
              </a:graphicData>
            </a:graphic>
          </wp:inline>
        </w:drawing>
      </w:r>
    </w:p>
    <w:p w:rsidR="00A05CCB" w:rsidRPr="00F115D3" w:rsidRDefault="00A05CCB" w:rsidP="00A05CCB">
      <w:pPr>
        <w:pStyle w:val="Textoindependiente"/>
        <w:spacing w:after="0" w:line="240" w:lineRule="auto"/>
        <w:jc w:val="both"/>
        <w:rPr>
          <w:rFonts w:ascii="Arial" w:hAnsi="Arial" w:cs="Arial"/>
          <w:sz w:val="20"/>
          <w:szCs w:val="20"/>
        </w:rPr>
      </w:pPr>
    </w:p>
    <w:p w:rsidR="00A924FD" w:rsidRDefault="00A924FD"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spacing w:after="0" w:line="240" w:lineRule="auto"/>
        <w:jc w:val="both"/>
        <w:rPr>
          <w:rFonts w:ascii="Arial" w:hAnsi="Arial" w:cs="Arial"/>
          <w:sz w:val="20"/>
          <w:szCs w:val="20"/>
        </w:rPr>
      </w:pPr>
      <w:r w:rsidRPr="00F115D3">
        <w:rPr>
          <w:rFonts w:ascii="Arial" w:hAnsi="Arial" w:cs="Arial"/>
          <w:sz w:val="20"/>
          <w:szCs w:val="20"/>
        </w:rPr>
        <w:t>Como se puede observar en el cuadro anterior, en el 2017 hubo una baja de un -36% en la ejecución en la mayoría de las partidas presupuestarias con respecto al año 2016, a continuación, se analizan las partidas más relevantes:</w:t>
      </w: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numPr>
          <w:ilvl w:val="0"/>
          <w:numId w:val="25"/>
        </w:numPr>
        <w:spacing w:after="0" w:line="240" w:lineRule="auto"/>
        <w:jc w:val="both"/>
        <w:rPr>
          <w:rFonts w:ascii="Arial" w:hAnsi="Arial" w:cs="Arial"/>
          <w:sz w:val="20"/>
          <w:szCs w:val="20"/>
        </w:rPr>
      </w:pPr>
      <w:r w:rsidRPr="00F115D3">
        <w:rPr>
          <w:rFonts w:ascii="Arial" w:hAnsi="Arial" w:cs="Arial"/>
          <w:sz w:val="20"/>
          <w:szCs w:val="20"/>
        </w:rPr>
        <w:t xml:space="preserve">Remuneraciones: una variación porcentual efectiva de un 10% con respecto al año 2016. Esto obedece a una mejora en la estimación de la planilla. </w:t>
      </w: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numPr>
          <w:ilvl w:val="0"/>
          <w:numId w:val="25"/>
        </w:numPr>
        <w:spacing w:after="0" w:line="240" w:lineRule="auto"/>
        <w:jc w:val="both"/>
        <w:rPr>
          <w:rFonts w:ascii="Arial" w:hAnsi="Arial" w:cs="Arial"/>
          <w:sz w:val="20"/>
          <w:szCs w:val="20"/>
        </w:rPr>
      </w:pPr>
      <w:r w:rsidRPr="00F115D3">
        <w:rPr>
          <w:rFonts w:ascii="Arial" w:hAnsi="Arial" w:cs="Arial"/>
          <w:sz w:val="20"/>
          <w:szCs w:val="20"/>
        </w:rPr>
        <w:t>Servicios: presentó una variación efectiva de ejecución en el 2017 de un -15% con respecto al 2016, esta variación negativa se produce debido a la baja ejecución en las principales subpartidas tales como: “Servicios de Gestión y Apoyo” con una variación efectiva de   un    -37% con respecto al período 2016.</w:t>
      </w: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numPr>
          <w:ilvl w:val="0"/>
          <w:numId w:val="25"/>
        </w:numPr>
        <w:spacing w:after="0" w:line="240" w:lineRule="auto"/>
        <w:jc w:val="both"/>
        <w:rPr>
          <w:rFonts w:ascii="Arial" w:hAnsi="Arial" w:cs="Arial"/>
          <w:sz w:val="20"/>
          <w:szCs w:val="20"/>
        </w:rPr>
      </w:pPr>
      <w:r w:rsidRPr="00F115D3">
        <w:rPr>
          <w:rFonts w:ascii="Arial" w:hAnsi="Arial" w:cs="Arial"/>
          <w:sz w:val="20"/>
          <w:szCs w:val="20"/>
        </w:rPr>
        <w:lastRenderedPageBreak/>
        <w:t>Intereses y comisiones: como se observa en el cuadro, esta partida presenta una variación efectiva de un -50%, esta partida se estima para hacerle frente a la devolución de intereses por renuncia de bonos, por lo que se puede concluir que hubo una disminución en las renuncias durante el 2017 con respeto al 2016.</w:t>
      </w: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numPr>
          <w:ilvl w:val="0"/>
          <w:numId w:val="25"/>
        </w:numPr>
        <w:spacing w:after="0" w:line="240" w:lineRule="auto"/>
        <w:jc w:val="both"/>
        <w:rPr>
          <w:rFonts w:ascii="Arial" w:hAnsi="Arial" w:cs="Arial"/>
          <w:sz w:val="20"/>
          <w:szCs w:val="20"/>
        </w:rPr>
      </w:pPr>
      <w:r w:rsidRPr="00F115D3">
        <w:rPr>
          <w:rFonts w:ascii="Arial" w:hAnsi="Arial" w:cs="Arial"/>
          <w:sz w:val="20"/>
          <w:szCs w:val="20"/>
        </w:rPr>
        <w:t xml:space="preserve">Activos financieros: la variación efectiva de esta partida es de un -35 % entre ambos períodos: como se indicó anteriormente en el 2016 la colocación de créditos fue de un 85% del total estimado mientras que en el 2017 baja a un 54%.   </w:t>
      </w: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numPr>
          <w:ilvl w:val="0"/>
          <w:numId w:val="25"/>
        </w:numPr>
        <w:spacing w:after="0" w:line="240" w:lineRule="auto"/>
        <w:jc w:val="both"/>
        <w:rPr>
          <w:rFonts w:ascii="Arial" w:hAnsi="Arial" w:cs="Arial"/>
          <w:sz w:val="20"/>
          <w:szCs w:val="20"/>
        </w:rPr>
      </w:pPr>
      <w:r w:rsidRPr="00F115D3">
        <w:rPr>
          <w:rFonts w:ascii="Arial" w:hAnsi="Arial" w:cs="Arial"/>
          <w:sz w:val="20"/>
          <w:szCs w:val="20"/>
        </w:rPr>
        <w:t xml:space="preserve">Bienes Duraderos: esta partida muestra una variación efectiva de un -83%, en el 2016 la ejecución fue de un 14% y en el 2017 de un 2% del total estimado. La variación se refleja principalmente en la subpartida “Equipos y Programas de Cómputo” y “Bienes Intangibles” </w:t>
      </w: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spacing w:after="0" w:line="240" w:lineRule="auto"/>
        <w:ind w:left="720"/>
        <w:jc w:val="both"/>
        <w:rPr>
          <w:rFonts w:ascii="Arial" w:hAnsi="Arial" w:cs="Arial"/>
          <w:sz w:val="20"/>
          <w:szCs w:val="20"/>
        </w:rPr>
      </w:pPr>
      <w:r w:rsidRPr="00F115D3">
        <w:rPr>
          <w:rFonts w:ascii="Arial" w:hAnsi="Arial" w:cs="Arial"/>
          <w:sz w:val="20"/>
          <w:szCs w:val="20"/>
        </w:rPr>
        <w:t>En cuanto a la partida “Obras Urbanísticas”, la ejecución en ambos períodos fue de un 0%, debido a lo señalado en el punto 5.2 de este informe, lo que no afecta la baja de la ejecución que presenta esta partida en los años de interés.</w:t>
      </w: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numPr>
          <w:ilvl w:val="0"/>
          <w:numId w:val="25"/>
        </w:numPr>
        <w:spacing w:after="0" w:line="240" w:lineRule="auto"/>
        <w:jc w:val="both"/>
        <w:rPr>
          <w:rFonts w:ascii="Arial" w:hAnsi="Arial" w:cs="Arial"/>
          <w:sz w:val="20"/>
          <w:szCs w:val="20"/>
        </w:rPr>
      </w:pPr>
      <w:r w:rsidRPr="00F115D3">
        <w:rPr>
          <w:rFonts w:ascii="Arial" w:hAnsi="Arial" w:cs="Arial"/>
          <w:sz w:val="20"/>
          <w:szCs w:val="20"/>
        </w:rPr>
        <w:t xml:space="preserve">Transferencias de Capital: con una variación porcentual efectiva en el 2017-2016 de un -24%, se ejecutó en el 2016 un 9% mientras que en el 2017 alcanzó una ejecución de un 2% del total estimado. Como se indicó en puntos anteriores esta partida es financiada con recursos BANHVI para la colocación de bonos ordinarios, bonos individuales Art.59 y los gastos de formalización que paga el BANHVI. </w:t>
      </w: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spacing w:after="0" w:line="240" w:lineRule="auto"/>
        <w:ind w:left="720"/>
        <w:jc w:val="both"/>
        <w:rPr>
          <w:rFonts w:ascii="Arial" w:hAnsi="Arial" w:cs="Arial"/>
          <w:sz w:val="20"/>
          <w:szCs w:val="20"/>
        </w:rPr>
      </w:pPr>
      <w:r w:rsidRPr="00F115D3">
        <w:rPr>
          <w:rFonts w:ascii="Arial" w:hAnsi="Arial" w:cs="Arial"/>
          <w:sz w:val="20"/>
          <w:szCs w:val="20"/>
        </w:rPr>
        <w:t xml:space="preserve">El monto colocado en bonos durante el 2017 fue por la suma de ¢118.839.43 miles con una ejecución de un 2% total estimado de un (¢5.814.041.97 miles), mientras que en el 2016 fue por ¢93.791.01 miles con una ejecución de un 6% del total estimado (¢1.517.882.94). </w:t>
      </w: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spacing w:after="0" w:line="240" w:lineRule="auto"/>
        <w:ind w:left="720"/>
        <w:jc w:val="both"/>
        <w:rPr>
          <w:rFonts w:ascii="Arial" w:hAnsi="Arial" w:cs="Arial"/>
          <w:sz w:val="20"/>
          <w:szCs w:val="20"/>
        </w:rPr>
      </w:pPr>
      <w:r w:rsidRPr="00F115D3">
        <w:rPr>
          <w:rFonts w:ascii="Arial" w:hAnsi="Arial" w:cs="Arial"/>
          <w:sz w:val="20"/>
          <w:szCs w:val="20"/>
        </w:rPr>
        <w:t>Es importante indicar que esta partida se ajustó en el 2016 quedando de ¢7.078.276.68 miles en ¢1.517.882.94 miles, en cumplimiento de un Acuerdo de Junta Directiva del BANHVI, que dispuso girar los recursos directamente a los desarrolladores de los proyectos de vivienda, previa autorización de los Entes Autorizados.</w:t>
      </w: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numPr>
          <w:ilvl w:val="0"/>
          <w:numId w:val="25"/>
        </w:numPr>
        <w:spacing w:after="0" w:line="240" w:lineRule="auto"/>
        <w:jc w:val="both"/>
        <w:rPr>
          <w:rFonts w:ascii="Arial" w:hAnsi="Arial" w:cs="Arial"/>
          <w:sz w:val="20"/>
          <w:szCs w:val="20"/>
        </w:rPr>
      </w:pPr>
      <w:r w:rsidRPr="00F115D3">
        <w:rPr>
          <w:rFonts w:ascii="Arial" w:hAnsi="Arial" w:cs="Arial"/>
          <w:sz w:val="20"/>
          <w:szCs w:val="20"/>
        </w:rPr>
        <w:t>Amortizaciones: esta partida se estima para la devolución de ahorros de los clientes del Sistema de Ahorro y Préstamo, la ejecución presupuestaria tuvo una variación efectiva en los años 2017-2016 de un -52%.</w:t>
      </w: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spacing w:after="0" w:line="240" w:lineRule="auto"/>
        <w:jc w:val="both"/>
        <w:rPr>
          <w:rFonts w:ascii="Arial" w:hAnsi="Arial" w:cs="Arial"/>
          <w:sz w:val="20"/>
          <w:szCs w:val="20"/>
        </w:rPr>
      </w:pPr>
    </w:p>
    <w:p w:rsidR="00147922" w:rsidRDefault="00147922" w:rsidP="00A05CCB">
      <w:pPr>
        <w:pStyle w:val="Textoindependiente"/>
        <w:spacing w:after="0" w:line="240" w:lineRule="auto"/>
        <w:jc w:val="both"/>
        <w:rPr>
          <w:rFonts w:ascii="Arial" w:hAnsi="Arial" w:cs="Arial"/>
          <w:sz w:val="20"/>
          <w:szCs w:val="20"/>
        </w:rPr>
      </w:pPr>
    </w:p>
    <w:p w:rsidR="00147922" w:rsidRDefault="00147922" w:rsidP="00A05CCB">
      <w:pPr>
        <w:pStyle w:val="Textoindependiente"/>
        <w:spacing w:after="0" w:line="240" w:lineRule="auto"/>
        <w:jc w:val="both"/>
        <w:rPr>
          <w:rFonts w:ascii="Arial" w:hAnsi="Arial" w:cs="Arial"/>
          <w:sz w:val="20"/>
          <w:szCs w:val="20"/>
        </w:rPr>
      </w:pPr>
    </w:p>
    <w:p w:rsidR="00147922" w:rsidRDefault="00147922"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spacing w:after="0" w:line="240" w:lineRule="auto"/>
        <w:jc w:val="both"/>
        <w:rPr>
          <w:rFonts w:ascii="Arial" w:hAnsi="Arial" w:cs="Arial"/>
          <w:sz w:val="20"/>
          <w:szCs w:val="20"/>
        </w:rPr>
      </w:pPr>
      <w:r w:rsidRPr="00F115D3">
        <w:rPr>
          <w:rFonts w:ascii="Arial" w:hAnsi="Arial" w:cs="Arial"/>
          <w:sz w:val="20"/>
          <w:szCs w:val="20"/>
        </w:rPr>
        <w:t>El siguiente gráfico muestra los egresos los ejecutados en ambos períodos y la comparación de lo ejecutado con respecto al año anterior.</w:t>
      </w: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spacing w:after="0" w:line="240" w:lineRule="auto"/>
        <w:jc w:val="both"/>
        <w:rPr>
          <w:rFonts w:ascii="Arial" w:hAnsi="Arial" w:cs="Arial"/>
          <w:sz w:val="20"/>
          <w:szCs w:val="20"/>
        </w:rPr>
      </w:pPr>
      <w:r w:rsidRPr="00F115D3">
        <w:rPr>
          <w:rFonts w:ascii="Arial" w:hAnsi="Arial" w:cs="Arial"/>
          <w:noProof/>
          <w:sz w:val="20"/>
          <w:szCs w:val="20"/>
          <w:lang w:eastAsia="es-CR"/>
        </w:rPr>
        <w:drawing>
          <wp:inline distT="0" distB="0" distL="0" distR="0" wp14:anchorId="5BA26538" wp14:editId="0011EAC4">
            <wp:extent cx="5610225" cy="2000250"/>
            <wp:effectExtent l="0" t="0" r="9525"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610225" cy="2000250"/>
                    </a:xfrm>
                    <a:prstGeom prst="rect">
                      <a:avLst/>
                    </a:prstGeom>
                    <a:noFill/>
                    <a:ln>
                      <a:noFill/>
                    </a:ln>
                  </pic:spPr>
                </pic:pic>
              </a:graphicData>
            </a:graphic>
          </wp:inline>
        </w:drawing>
      </w:r>
    </w:p>
    <w:p w:rsidR="00A05CCB" w:rsidRPr="00147922" w:rsidRDefault="00A05CCB" w:rsidP="00A05CCB">
      <w:pPr>
        <w:pStyle w:val="Textoindependiente"/>
        <w:spacing w:after="0" w:line="240" w:lineRule="auto"/>
        <w:jc w:val="both"/>
        <w:rPr>
          <w:rFonts w:ascii="Arial" w:hAnsi="Arial" w:cs="Arial"/>
          <w:b/>
          <w:sz w:val="18"/>
          <w:szCs w:val="18"/>
        </w:rPr>
      </w:pPr>
      <w:r w:rsidRPr="00147922">
        <w:rPr>
          <w:rFonts w:ascii="Arial" w:hAnsi="Arial" w:cs="Arial"/>
          <w:b/>
          <w:sz w:val="18"/>
          <w:szCs w:val="18"/>
        </w:rPr>
        <w:t>Fuente: Ejecución presupuestaria-Contabilidad</w:t>
      </w: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pStyle w:val="Textoindependiente"/>
        <w:spacing w:after="0" w:line="240" w:lineRule="auto"/>
        <w:jc w:val="both"/>
        <w:rPr>
          <w:rFonts w:ascii="Arial" w:hAnsi="Arial" w:cs="Arial"/>
          <w:sz w:val="20"/>
          <w:szCs w:val="20"/>
        </w:rPr>
      </w:pPr>
    </w:p>
    <w:p w:rsidR="00A05CCB" w:rsidRPr="00F115D3" w:rsidRDefault="00A05CCB" w:rsidP="00A05CCB">
      <w:pPr>
        <w:spacing w:after="0" w:line="240" w:lineRule="auto"/>
        <w:jc w:val="both"/>
        <w:rPr>
          <w:rFonts w:ascii="Arial" w:hAnsi="Arial" w:cs="Arial"/>
          <w:sz w:val="20"/>
          <w:szCs w:val="20"/>
        </w:rPr>
      </w:pPr>
    </w:p>
    <w:p w:rsidR="00DA62C0" w:rsidRDefault="00DA62C0" w:rsidP="00AD209C">
      <w:pPr>
        <w:pStyle w:val="Ttulo1"/>
        <w:keepLines w:val="0"/>
        <w:spacing w:after="60" w:line="240" w:lineRule="auto"/>
        <w:ind w:left="928"/>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br w:type="page"/>
      </w:r>
    </w:p>
    <w:p w:rsidR="0035377E" w:rsidRDefault="0035377E" w:rsidP="00666328">
      <w:pPr>
        <w:pStyle w:val="Ttulo1"/>
        <w:keepLines w:val="0"/>
        <w:numPr>
          <w:ilvl w:val="0"/>
          <w:numId w:val="1"/>
        </w:numPr>
        <w:spacing w:before="0" w:line="240" w:lineRule="auto"/>
        <w:jc w:val="both"/>
        <w:rPr>
          <w:rFonts w:ascii="Arial" w:eastAsia="Times New Roman" w:hAnsi="Arial" w:cs="Arial"/>
          <w:b/>
          <w:bCs/>
          <w:color w:val="auto"/>
          <w:kern w:val="32"/>
          <w:sz w:val="20"/>
          <w:szCs w:val="20"/>
          <w:lang w:eastAsia="es-ES"/>
        </w:rPr>
      </w:pPr>
      <w:r w:rsidRPr="00666328">
        <w:rPr>
          <w:rFonts w:ascii="Arial" w:eastAsia="Times New Roman" w:hAnsi="Arial" w:cs="Arial"/>
          <w:b/>
          <w:bCs/>
          <w:color w:val="auto"/>
          <w:kern w:val="32"/>
          <w:sz w:val="20"/>
          <w:szCs w:val="20"/>
          <w:lang w:eastAsia="es-ES"/>
        </w:rPr>
        <w:lastRenderedPageBreak/>
        <w:t>CONCLUSIONES</w:t>
      </w:r>
    </w:p>
    <w:p w:rsidR="00666328" w:rsidRDefault="00666328" w:rsidP="00666328">
      <w:pPr>
        <w:spacing w:after="0" w:line="240" w:lineRule="auto"/>
        <w:ind w:left="708"/>
        <w:jc w:val="both"/>
        <w:rPr>
          <w:rFonts w:ascii="Arial" w:hAnsi="Arial" w:cs="Arial"/>
          <w:bCs/>
          <w:sz w:val="20"/>
          <w:szCs w:val="20"/>
          <w:lang w:eastAsia="es-CR"/>
        </w:rPr>
      </w:pPr>
    </w:p>
    <w:p w:rsidR="0035377E" w:rsidRPr="00666328" w:rsidRDefault="0035377E" w:rsidP="00666328">
      <w:pPr>
        <w:numPr>
          <w:ilvl w:val="0"/>
          <w:numId w:val="26"/>
        </w:numPr>
        <w:spacing w:after="0" w:line="240" w:lineRule="auto"/>
        <w:ind w:left="708" w:hanging="208"/>
        <w:jc w:val="both"/>
        <w:rPr>
          <w:rFonts w:ascii="Arial" w:hAnsi="Arial" w:cs="Arial"/>
          <w:bCs/>
          <w:sz w:val="20"/>
          <w:szCs w:val="20"/>
          <w:lang w:eastAsia="es-CR"/>
        </w:rPr>
      </w:pPr>
      <w:r w:rsidRPr="00666328">
        <w:rPr>
          <w:rFonts w:ascii="Arial" w:hAnsi="Arial" w:cs="Arial"/>
          <w:bCs/>
          <w:sz w:val="20"/>
          <w:szCs w:val="20"/>
          <w:lang w:eastAsia="es-CR"/>
        </w:rPr>
        <w:t xml:space="preserve">El sistema de información se implementó en un 100%, se concluyó la etapa de capacitaciones y se inició la etapa de adaptaciones y pruebas. </w:t>
      </w:r>
    </w:p>
    <w:p w:rsidR="0035377E" w:rsidRPr="00666328" w:rsidRDefault="0035377E" w:rsidP="00666328">
      <w:pPr>
        <w:spacing w:after="0" w:line="240" w:lineRule="auto"/>
        <w:ind w:left="708"/>
        <w:jc w:val="both"/>
        <w:rPr>
          <w:rFonts w:ascii="Arial" w:hAnsi="Arial" w:cs="Arial"/>
          <w:bCs/>
          <w:sz w:val="20"/>
          <w:szCs w:val="20"/>
          <w:lang w:eastAsia="es-CR"/>
        </w:rPr>
      </w:pPr>
    </w:p>
    <w:p w:rsidR="0035377E" w:rsidRPr="00666328" w:rsidRDefault="0035377E" w:rsidP="00666328">
      <w:pPr>
        <w:spacing w:after="0" w:line="240" w:lineRule="auto"/>
        <w:ind w:left="708"/>
        <w:jc w:val="both"/>
        <w:rPr>
          <w:rFonts w:ascii="Arial" w:hAnsi="Arial" w:cs="Arial"/>
          <w:bCs/>
          <w:sz w:val="20"/>
          <w:szCs w:val="20"/>
          <w:lang w:eastAsia="es-CR"/>
        </w:rPr>
      </w:pPr>
      <w:r w:rsidRPr="00666328">
        <w:rPr>
          <w:rFonts w:ascii="Arial" w:hAnsi="Arial" w:cs="Arial"/>
          <w:bCs/>
          <w:sz w:val="20"/>
          <w:szCs w:val="20"/>
          <w:lang w:eastAsia="es-CR"/>
        </w:rPr>
        <w:t>El sistema permitirá agilizar las actividades de la Institución.</w:t>
      </w:r>
    </w:p>
    <w:p w:rsidR="0035377E" w:rsidRPr="00666328" w:rsidRDefault="0035377E" w:rsidP="00666328">
      <w:pPr>
        <w:tabs>
          <w:tab w:val="left" w:pos="2188"/>
        </w:tabs>
        <w:spacing w:after="0" w:line="240" w:lineRule="auto"/>
        <w:ind w:left="708"/>
        <w:jc w:val="both"/>
        <w:rPr>
          <w:rFonts w:ascii="Arial" w:hAnsi="Arial" w:cs="Arial"/>
          <w:bCs/>
          <w:sz w:val="20"/>
          <w:szCs w:val="20"/>
          <w:lang w:eastAsia="es-CR"/>
        </w:rPr>
      </w:pPr>
    </w:p>
    <w:p w:rsidR="0035377E" w:rsidRPr="00666328" w:rsidRDefault="0035377E" w:rsidP="00666328">
      <w:pPr>
        <w:numPr>
          <w:ilvl w:val="0"/>
          <w:numId w:val="26"/>
        </w:numPr>
        <w:spacing w:after="0" w:line="240" w:lineRule="auto"/>
        <w:ind w:left="708" w:hanging="208"/>
        <w:jc w:val="both"/>
        <w:rPr>
          <w:rFonts w:ascii="Arial" w:hAnsi="Arial" w:cs="Arial"/>
          <w:bCs/>
          <w:sz w:val="20"/>
          <w:szCs w:val="20"/>
          <w:lang w:eastAsia="es-CR"/>
        </w:rPr>
      </w:pPr>
      <w:r w:rsidRPr="00666328">
        <w:rPr>
          <w:rFonts w:ascii="Arial" w:hAnsi="Arial" w:cs="Arial"/>
          <w:bCs/>
          <w:sz w:val="20"/>
          <w:szCs w:val="20"/>
          <w:lang w:eastAsia="es-CR"/>
        </w:rPr>
        <w:t xml:space="preserve">En accidentes laborales, se reportaron 2, cifra que se mantuvo igual que en el 2016. Además, se reportaron 5 accidentes catalogados como riesgos en trayecto, que se incluyeron dentro de la cobertura de riesgos del trabajo. Algunas acciones realizadas para prevenir accidentes y enfermedades laborales corresponden a las siguientes: </w:t>
      </w:r>
    </w:p>
    <w:p w:rsidR="0035377E" w:rsidRPr="00666328" w:rsidRDefault="0035377E" w:rsidP="00666328">
      <w:pPr>
        <w:spacing w:after="0" w:line="240" w:lineRule="auto"/>
        <w:ind w:left="1416"/>
        <w:jc w:val="both"/>
        <w:rPr>
          <w:rFonts w:ascii="Arial" w:hAnsi="Arial" w:cs="Arial"/>
          <w:sz w:val="20"/>
          <w:szCs w:val="20"/>
        </w:rPr>
      </w:pPr>
      <w:r w:rsidRPr="00666328">
        <w:rPr>
          <w:rFonts w:ascii="Arial" w:hAnsi="Arial" w:cs="Arial"/>
          <w:sz w:val="20"/>
          <w:szCs w:val="20"/>
        </w:rPr>
        <w:t xml:space="preserve">- Evaluaciones ergonómicas en los puestos de trabajo. </w:t>
      </w:r>
    </w:p>
    <w:p w:rsidR="0035377E" w:rsidRPr="00666328" w:rsidRDefault="0035377E" w:rsidP="00666328">
      <w:pPr>
        <w:spacing w:after="0" w:line="240" w:lineRule="auto"/>
        <w:ind w:left="1416"/>
        <w:jc w:val="both"/>
        <w:rPr>
          <w:rFonts w:ascii="Arial" w:hAnsi="Arial" w:cs="Arial"/>
          <w:sz w:val="20"/>
          <w:szCs w:val="20"/>
        </w:rPr>
      </w:pPr>
      <w:r w:rsidRPr="00666328">
        <w:rPr>
          <w:rFonts w:ascii="Arial" w:hAnsi="Arial" w:cs="Arial"/>
          <w:sz w:val="20"/>
          <w:szCs w:val="20"/>
        </w:rPr>
        <w:t>- Dotación de equipos ergonómicos al personal.</w:t>
      </w:r>
    </w:p>
    <w:p w:rsidR="0035377E" w:rsidRPr="00666328" w:rsidRDefault="0035377E" w:rsidP="00666328">
      <w:pPr>
        <w:spacing w:after="0" w:line="240" w:lineRule="auto"/>
        <w:ind w:left="1416"/>
        <w:jc w:val="both"/>
        <w:rPr>
          <w:rFonts w:ascii="Arial" w:hAnsi="Arial" w:cs="Arial"/>
          <w:sz w:val="20"/>
          <w:szCs w:val="20"/>
        </w:rPr>
      </w:pPr>
      <w:r w:rsidRPr="00666328">
        <w:rPr>
          <w:rFonts w:ascii="Arial" w:hAnsi="Arial" w:cs="Arial"/>
          <w:sz w:val="20"/>
          <w:szCs w:val="20"/>
        </w:rPr>
        <w:t xml:space="preserve">- Capacitación sobre reglas básicas para ordenar y ubicar los equipos de oficina y cómputo. </w:t>
      </w:r>
    </w:p>
    <w:p w:rsidR="0035377E" w:rsidRPr="00666328" w:rsidRDefault="0035377E" w:rsidP="00666328">
      <w:pPr>
        <w:spacing w:after="0" w:line="240" w:lineRule="auto"/>
        <w:ind w:left="1416"/>
        <w:jc w:val="both"/>
        <w:rPr>
          <w:rFonts w:ascii="Arial" w:hAnsi="Arial" w:cs="Arial"/>
          <w:sz w:val="20"/>
          <w:szCs w:val="20"/>
        </w:rPr>
      </w:pPr>
      <w:r w:rsidRPr="00666328">
        <w:rPr>
          <w:rFonts w:ascii="Arial" w:hAnsi="Arial" w:cs="Arial"/>
          <w:sz w:val="20"/>
          <w:szCs w:val="20"/>
        </w:rPr>
        <w:t xml:space="preserve"> - Adquisición de equipos de protección y  suministro al personal de mantenimiento y campo.</w:t>
      </w:r>
    </w:p>
    <w:p w:rsidR="0035377E" w:rsidRPr="00666328" w:rsidRDefault="0035377E" w:rsidP="00666328">
      <w:pPr>
        <w:spacing w:after="0" w:line="240" w:lineRule="auto"/>
        <w:ind w:left="1416"/>
        <w:jc w:val="both"/>
        <w:rPr>
          <w:rFonts w:ascii="Arial" w:hAnsi="Arial" w:cs="Arial"/>
          <w:bCs/>
          <w:color w:val="000000"/>
          <w:sz w:val="20"/>
          <w:szCs w:val="20"/>
        </w:rPr>
      </w:pPr>
      <w:r w:rsidRPr="00666328">
        <w:rPr>
          <w:rFonts w:ascii="Arial" w:hAnsi="Arial" w:cs="Arial"/>
          <w:bCs/>
          <w:color w:val="000000"/>
          <w:sz w:val="20"/>
          <w:szCs w:val="20"/>
        </w:rPr>
        <w:t xml:space="preserve">- Instalación de rótulos de prevención de riesgos.  </w:t>
      </w:r>
    </w:p>
    <w:p w:rsidR="0035377E" w:rsidRPr="00666328" w:rsidRDefault="0035377E" w:rsidP="00666328">
      <w:pPr>
        <w:spacing w:after="0" w:line="240" w:lineRule="auto"/>
        <w:ind w:left="1416"/>
        <w:jc w:val="both"/>
        <w:rPr>
          <w:rFonts w:ascii="Arial" w:hAnsi="Arial" w:cs="Arial"/>
          <w:bCs/>
          <w:color w:val="000000"/>
          <w:sz w:val="20"/>
          <w:szCs w:val="20"/>
        </w:rPr>
      </w:pPr>
      <w:r w:rsidRPr="00666328">
        <w:rPr>
          <w:rFonts w:ascii="Arial" w:hAnsi="Arial" w:cs="Arial"/>
          <w:bCs/>
          <w:color w:val="000000"/>
          <w:sz w:val="20"/>
          <w:szCs w:val="20"/>
        </w:rPr>
        <w:t xml:space="preserve">- Evaluación de riesgos de caída en los trabajos de alturas del personal de Mantenimiento. </w:t>
      </w:r>
    </w:p>
    <w:p w:rsidR="0035377E" w:rsidRPr="00666328" w:rsidRDefault="0035377E" w:rsidP="00666328">
      <w:pPr>
        <w:spacing w:after="0" w:line="240" w:lineRule="auto"/>
        <w:ind w:left="708"/>
        <w:jc w:val="both"/>
        <w:rPr>
          <w:rFonts w:ascii="Arial" w:hAnsi="Arial" w:cs="Arial"/>
          <w:bCs/>
          <w:sz w:val="20"/>
          <w:szCs w:val="20"/>
          <w:lang w:eastAsia="es-CR"/>
        </w:rPr>
      </w:pPr>
    </w:p>
    <w:p w:rsidR="0035377E" w:rsidRPr="00666328" w:rsidRDefault="0035377E" w:rsidP="00666328">
      <w:pPr>
        <w:numPr>
          <w:ilvl w:val="0"/>
          <w:numId w:val="26"/>
        </w:numPr>
        <w:spacing w:after="0" w:line="240" w:lineRule="auto"/>
        <w:ind w:left="708" w:hanging="208"/>
        <w:jc w:val="both"/>
        <w:rPr>
          <w:rFonts w:ascii="Arial" w:hAnsi="Arial" w:cs="Arial"/>
          <w:bCs/>
          <w:sz w:val="20"/>
          <w:szCs w:val="20"/>
          <w:lang w:eastAsia="es-CR"/>
        </w:rPr>
      </w:pPr>
      <w:r w:rsidRPr="00666328">
        <w:rPr>
          <w:rFonts w:ascii="Arial" w:hAnsi="Arial" w:cs="Arial"/>
          <w:bCs/>
          <w:sz w:val="20"/>
          <w:szCs w:val="20"/>
          <w:lang w:eastAsia="es-CR"/>
        </w:rPr>
        <w:t xml:space="preserve">Como parte del Plan de Prevención y Atención de Emergencias se adquirieron e instalaron los rótulos de evacuación </w:t>
      </w:r>
      <w:r w:rsidRPr="00666328">
        <w:rPr>
          <w:rFonts w:ascii="Arial" w:hAnsi="Arial" w:cs="Arial"/>
          <w:sz w:val="20"/>
          <w:szCs w:val="20"/>
        </w:rPr>
        <w:t xml:space="preserve">y de emergencias, </w:t>
      </w:r>
      <w:r w:rsidRPr="00666328">
        <w:rPr>
          <w:rFonts w:ascii="Arial" w:hAnsi="Arial" w:cs="Arial"/>
          <w:bCs/>
          <w:sz w:val="20"/>
          <w:szCs w:val="20"/>
          <w:lang w:eastAsia="es-CR"/>
        </w:rPr>
        <w:t>se realizó el mantenimiento a las alarmas de emergencias, s</w:t>
      </w:r>
      <w:r w:rsidRPr="00666328">
        <w:rPr>
          <w:rFonts w:ascii="Arial" w:hAnsi="Arial" w:cs="Arial"/>
          <w:sz w:val="20"/>
          <w:szCs w:val="20"/>
        </w:rPr>
        <w:t xml:space="preserve">e tramitó la contratación de chalecos y distintivos para la identificación de los comités, </w:t>
      </w:r>
      <w:r w:rsidRPr="00666328">
        <w:rPr>
          <w:rFonts w:ascii="Arial" w:hAnsi="Arial" w:cs="Arial"/>
          <w:bCs/>
          <w:sz w:val="20"/>
          <w:szCs w:val="20"/>
          <w:lang w:eastAsia="es-CR"/>
        </w:rPr>
        <w:t>se brindaron capacitaciones y s</w:t>
      </w:r>
      <w:r w:rsidRPr="00666328">
        <w:rPr>
          <w:rFonts w:ascii="Arial" w:hAnsi="Arial" w:cs="Arial"/>
          <w:sz w:val="20"/>
          <w:szCs w:val="20"/>
        </w:rPr>
        <w:t>e realizaron las actividades de logística para el Simulacro de Evacuación. Entre las capacitaciones impartidas se pueden mencionar: Protocolo de evacuación en casos de emergencias y Evaluación de Daños en Edificios Post Desastre y Análisis de Necesidades (EDAN).</w:t>
      </w:r>
    </w:p>
    <w:p w:rsidR="0035377E" w:rsidRPr="00666328" w:rsidRDefault="0035377E" w:rsidP="00666328">
      <w:pPr>
        <w:pStyle w:val="Prrafodelista"/>
        <w:spacing w:after="0" w:line="240" w:lineRule="auto"/>
        <w:rPr>
          <w:rFonts w:ascii="Arial" w:hAnsi="Arial" w:cs="Arial"/>
          <w:bCs/>
          <w:color w:val="FF0000"/>
          <w:sz w:val="20"/>
          <w:szCs w:val="20"/>
          <w:lang w:eastAsia="es-CR"/>
        </w:rPr>
      </w:pPr>
    </w:p>
    <w:p w:rsidR="0035377E" w:rsidRPr="00666328" w:rsidRDefault="0035377E" w:rsidP="00666328">
      <w:pPr>
        <w:numPr>
          <w:ilvl w:val="0"/>
          <w:numId w:val="26"/>
        </w:numPr>
        <w:spacing w:after="0" w:line="240" w:lineRule="auto"/>
        <w:ind w:left="708" w:hanging="208"/>
        <w:jc w:val="both"/>
        <w:rPr>
          <w:rFonts w:ascii="Arial" w:hAnsi="Arial" w:cs="Arial"/>
          <w:bCs/>
          <w:sz w:val="20"/>
          <w:szCs w:val="20"/>
          <w:lang w:eastAsia="es-CR"/>
        </w:rPr>
      </w:pPr>
      <w:r w:rsidRPr="00666328">
        <w:rPr>
          <w:rFonts w:ascii="Arial" w:hAnsi="Arial" w:cs="Arial"/>
          <w:bCs/>
          <w:sz w:val="20"/>
          <w:szCs w:val="20"/>
          <w:lang w:eastAsia="es-CR"/>
        </w:rPr>
        <w:t xml:space="preserve">En cuanto al Plan de Gestión Ambiental se continúa brindando tratamiento a los residuos ordinarios, mediante gestores autorizados por el Ministerio de Salud. Además, del traslado de residuos electrónicos y mobiliario (obsoletos y dañados), para su manejo ambiental así como el tratamiento a residuos orgánicos, que fueron convertidos en abono orgánico, por medio de una técnica de Compostaje. </w:t>
      </w:r>
    </w:p>
    <w:p w:rsidR="0035377E" w:rsidRPr="00666328" w:rsidRDefault="0035377E" w:rsidP="00666328">
      <w:pPr>
        <w:spacing w:after="0" w:line="240" w:lineRule="auto"/>
        <w:ind w:left="708"/>
        <w:jc w:val="both"/>
        <w:rPr>
          <w:rFonts w:ascii="Arial" w:hAnsi="Arial" w:cs="Arial"/>
          <w:bCs/>
          <w:sz w:val="20"/>
          <w:szCs w:val="20"/>
          <w:lang w:eastAsia="es-CR"/>
        </w:rPr>
      </w:pPr>
    </w:p>
    <w:p w:rsidR="0035377E" w:rsidRPr="00666328" w:rsidRDefault="0035377E" w:rsidP="00666328">
      <w:pPr>
        <w:numPr>
          <w:ilvl w:val="0"/>
          <w:numId w:val="26"/>
        </w:numPr>
        <w:spacing w:after="0" w:line="240" w:lineRule="auto"/>
        <w:ind w:left="708" w:hanging="208"/>
        <w:jc w:val="both"/>
        <w:rPr>
          <w:rFonts w:ascii="Arial" w:hAnsi="Arial" w:cs="Arial"/>
          <w:bCs/>
          <w:sz w:val="20"/>
          <w:szCs w:val="20"/>
          <w:lang w:eastAsia="es-CR"/>
        </w:rPr>
      </w:pPr>
      <w:r w:rsidRPr="00666328">
        <w:rPr>
          <w:rFonts w:ascii="Arial" w:hAnsi="Arial" w:cs="Arial"/>
          <w:bCs/>
          <w:sz w:val="20"/>
          <w:szCs w:val="20"/>
          <w:lang w:eastAsia="es-CR"/>
        </w:rPr>
        <w:t xml:space="preserve">En referencia a la normativa </w:t>
      </w:r>
      <w:r w:rsidRPr="00666328">
        <w:rPr>
          <w:rFonts w:ascii="Arial" w:hAnsi="Arial" w:cs="Arial"/>
          <w:bCs/>
          <w:sz w:val="20"/>
          <w:szCs w:val="20"/>
        </w:rPr>
        <w:t xml:space="preserve">se finalizó el Reglamento de Renovación Urbana y se terminó la actualización del </w:t>
      </w:r>
      <w:r w:rsidRPr="00666328">
        <w:rPr>
          <w:rFonts w:ascii="Arial" w:hAnsi="Arial" w:cs="Arial"/>
          <w:sz w:val="20"/>
          <w:szCs w:val="20"/>
          <w:lang w:eastAsia="es-CR"/>
        </w:rPr>
        <w:t>Manual de Planes Reguladores de Ordenamiento Territorial Loca</w:t>
      </w:r>
      <w:r w:rsidRPr="00666328">
        <w:rPr>
          <w:rFonts w:ascii="Arial" w:hAnsi="Arial" w:cs="Arial"/>
          <w:bCs/>
          <w:sz w:val="20"/>
          <w:szCs w:val="20"/>
        </w:rPr>
        <w:t>l. El Reglamento de Construcciones cuenta con un avance del 90%</w:t>
      </w:r>
      <w:r w:rsidRPr="00666328">
        <w:rPr>
          <w:rFonts w:ascii="Arial" w:hAnsi="Arial" w:cs="Arial"/>
          <w:bCs/>
          <w:sz w:val="20"/>
          <w:szCs w:val="20"/>
          <w:lang w:eastAsia="es-CR"/>
        </w:rPr>
        <w:t xml:space="preserve"> y se encuentra en proceso de revisión el Reglamento para El Control Nacional de Fraccionamientos y Urbanizaciones.</w:t>
      </w:r>
    </w:p>
    <w:p w:rsidR="0035377E" w:rsidRPr="00666328" w:rsidRDefault="0035377E" w:rsidP="00666328">
      <w:pPr>
        <w:spacing w:after="0" w:line="240" w:lineRule="auto"/>
        <w:ind w:left="708"/>
        <w:jc w:val="both"/>
        <w:rPr>
          <w:rFonts w:ascii="Arial" w:hAnsi="Arial" w:cs="Arial"/>
          <w:bCs/>
          <w:sz w:val="20"/>
          <w:szCs w:val="20"/>
          <w:lang w:eastAsia="es-CR"/>
        </w:rPr>
      </w:pPr>
    </w:p>
    <w:p w:rsidR="0035377E" w:rsidRPr="00666328" w:rsidRDefault="0035377E" w:rsidP="00666328">
      <w:pPr>
        <w:numPr>
          <w:ilvl w:val="0"/>
          <w:numId w:val="26"/>
        </w:numPr>
        <w:spacing w:after="0" w:line="240" w:lineRule="auto"/>
        <w:ind w:left="708" w:hanging="208"/>
        <w:jc w:val="both"/>
        <w:rPr>
          <w:rFonts w:ascii="Arial" w:hAnsi="Arial" w:cs="Arial"/>
          <w:bCs/>
          <w:sz w:val="20"/>
          <w:szCs w:val="20"/>
          <w:lang w:eastAsia="es-CR"/>
        </w:rPr>
      </w:pPr>
      <w:r w:rsidRPr="00666328">
        <w:rPr>
          <w:rFonts w:ascii="Arial" w:hAnsi="Arial" w:cs="Arial"/>
          <w:bCs/>
          <w:sz w:val="20"/>
          <w:szCs w:val="20"/>
          <w:lang w:eastAsia="es-CR"/>
        </w:rPr>
        <w:t xml:space="preserve">En planes reguladores, a diciembre ingresaron  tres planes, se aprobó el plan de Playa Tivives (Esparza) y se encuentran en revisión el plan de Barba (Heredia) y Naranjo (Alajuela). </w:t>
      </w:r>
    </w:p>
    <w:p w:rsidR="0035377E" w:rsidRPr="00666328" w:rsidRDefault="0035377E" w:rsidP="00666328">
      <w:pPr>
        <w:spacing w:after="0" w:line="240" w:lineRule="auto"/>
        <w:ind w:left="708"/>
        <w:jc w:val="both"/>
        <w:rPr>
          <w:rFonts w:ascii="Arial" w:hAnsi="Arial" w:cs="Arial"/>
          <w:bCs/>
          <w:sz w:val="20"/>
          <w:szCs w:val="20"/>
          <w:lang w:eastAsia="es-CR"/>
        </w:rPr>
      </w:pPr>
      <w:r w:rsidRPr="00666328">
        <w:rPr>
          <w:rFonts w:ascii="Arial" w:hAnsi="Arial" w:cs="Arial"/>
          <w:bCs/>
          <w:sz w:val="20"/>
          <w:szCs w:val="20"/>
          <w:lang w:eastAsia="es-CR"/>
        </w:rPr>
        <w:t>El plazo de revisión se encuentra dentro del tiempo establecido de tres meses.</w:t>
      </w:r>
    </w:p>
    <w:p w:rsidR="0035377E" w:rsidRPr="00666328" w:rsidRDefault="0035377E" w:rsidP="00666328">
      <w:pPr>
        <w:spacing w:after="0" w:line="240" w:lineRule="auto"/>
        <w:ind w:left="708"/>
        <w:jc w:val="both"/>
        <w:rPr>
          <w:rFonts w:ascii="Arial" w:hAnsi="Arial" w:cs="Arial"/>
          <w:bCs/>
          <w:sz w:val="20"/>
          <w:szCs w:val="20"/>
          <w:lang w:eastAsia="es-CR"/>
        </w:rPr>
      </w:pPr>
    </w:p>
    <w:p w:rsidR="0035377E" w:rsidRPr="00666328" w:rsidRDefault="0035377E" w:rsidP="00666328">
      <w:pPr>
        <w:numPr>
          <w:ilvl w:val="0"/>
          <w:numId w:val="26"/>
        </w:numPr>
        <w:spacing w:after="0" w:line="240" w:lineRule="auto"/>
        <w:ind w:left="708" w:hanging="208"/>
        <w:jc w:val="both"/>
        <w:rPr>
          <w:rFonts w:ascii="Arial" w:hAnsi="Arial" w:cs="Arial"/>
          <w:bCs/>
          <w:sz w:val="20"/>
          <w:szCs w:val="20"/>
          <w:lang w:eastAsia="es-CR"/>
        </w:rPr>
      </w:pPr>
      <w:r w:rsidRPr="00666328">
        <w:rPr>
          <w:rFonts w:ascii="Arial" w:hAnsi="Arial" w:cs="Arial"/>
          <w:bCs/>
          <w:sz w:val="20"/>
          <w:szCs w:val="20"/>
          <w:lang w:eastAsia="es-CR"/>
        </w:rPr>
        <w:t>En materia de planos de condominio construido, planos de condominio de lotes, planos de urbanizaciones, transformación a condominio, entre otros, se recibieron un total de 3.339 trámites, los cuales fueron revisados en su totalidad, en un tiempo promedio de 9 días hábiles por cada solicitud.</w:t>
      </w:r>
    </w:p>
    <w:p w:rsidR="00666328" w:rsidRPr="00666328" w:rsidRDefault="00666328" w:rsidP="00666328">
      <w:pPr>
        <w:spacing w:after="0" w:line="240" w:lineRule="auto"/>
        <w:ind w:left="719"/>
        <w:jc w:val="both"/>
        <w:rPr>
          <w:rFonts w:ascii="Arial" w:hAnsi="Arial" w:cs="Arial"/>
          <w:bCs/>
          <w:sz w:val="20"/>
          <w:szCs w:val="20"/>
        </w:rPr>
      </w:pPr>
    </w:p>
    <w:p w:rsidR="00666328" w:rsidRPr="00666328" w:rsidRDefault="00666328" w:rsidP="00666328">
      <w:pPr>
        <w:numPr>
          <w:ilvl w:val="0"/>
          <w:numId w:val="26"/>
        </w:numPr>
        <w:spacing w:after="0" w:line="240" w:lineRule="auto"/>
        <w:jc w:val="both"/>
        <w:rPr>
          <w:rFonts w:ascii="Arial" w:hAnsi="Arial" w:cs="Arial"/>
          <w:bCs/>
          <w:sz w:val="20"/>
          <w:szCs w:val="20"/>
        </w:rPr>
      </w:pPr>
      <w:r w:rsidRPr="00666328">
        <w:rPr>
          <w:rFonts w:ascii="Arial" w:hAnsi="Arial" w:cs="Arial"/>
          <w:bCs/>
          <w:sz w:val="20"/>
          <w:szCs w:val="20"/>
          <w:lang w:eastAsia="es-CR"/>
        </w:rPr>
        <w:lastRenderedPageBreak/>
        <w:t xml:space="preserve">Las consultas planteadas por los usuarios, en materia de proyectos de vivienda, planificación urbana, planos e inconformidades ante la Contraloría de Servicios, se atendieron y tramitaron en un 100%. </w:t>
      </w:r>
    </w:p>
    <w:p w:rsidR="00666328" w:rsidRPr="00666328" w:rsidRDefault="00666328" w:rsidP="00666328">
      <w:pPr>
        <w:pStyle w:val="Prrafodelista"/>
        <w:spacing w:after="0" w:line="240" w:lineRule="auto"/>
        <w:rPr>
          <w:rFonts w:ascii="Arial" w:hAnsi="Arial" w:cs="Arial"/>
          <w:bCs/>
          <w:sz w:val="20"/>
          <w:szCs w:val="20"/>
          <w:lang w:eastAsia="es-CR"/>
        </w:rPr>
      </w:pPr>
    </w:p>
    <w:p w:rsidR="00666328" w:rsidRPr="00666328" w:rsidRDefault="00666328" w:rsidP="00666328">
      <w:pPr>
        <w:numPr>
          <w:ilvl w:val="0"/>
          <w:numId w:val="26"/>
        </w:numPr>
        <w:spacing w:after="0" w:line="240" w:lineRule="auto"/>
        <w:jc w:val="both"/>
        <w:rPr>
          <w:rFonts w:ascii="Arial" w:hAnsi="Arial" w:cs="Arial"/>
          <w:bCs/>
          <w:sz w:val="20"/>
          <w:szCs w:val="20"/>
        </w:rPr>
      </w:pPr>
      <w:r w:rsidRPr="00666328">
        <w:rPr>
          <w:rFonts w:ascii="Arial" w:hAnsi="Arial" w:cs="Arial"/>
          <w:bCs/>
          <w:sz w:val="20"/>
          <w:szCs w:val="20"/>
          <w:lang w:eastAsia="es-CR"/>
        </w:rPr>
        <w:t xml:space="preserve">Se impartieron 12 capacitaciones sobre el </w:t>
      </w:r>
      <w:r w:rsidRPr="00666328">
        <w:rPr>
          <w:rFonts w:ascii="Arial" w:hAnsi="Arial" w:cs="Arial"/>
          <w:bCs/>
          <w:sz w:val="20"/>
          <w:szCs w:val="20"/>
        </w:rPr>
        <w:t>Reglamento de Construcciones y el Reglamento de Renovación Urbana; a diferentes municipalidades del país,</w:t>
      </w:r>
      <w:r w:rsidRPr="00666328">
        <w:rPr>
          <w:rFonts w:ascii="Arial" w:hAnsi="Arial" w:cs="Arial"/>
          <w:bCs/>
          <w:sz w:val="20"/>
          <w:szCs w:val="20"/>
          <w:lang w:eastAsia="es-CR"/>
        </w:rPr>
        <w:t xml:space="preserve"> la </w:t>
      </w:r>
      <w:r w:rsidRPr="00666328">
        <w:rPr>
          <w:rFonts w:ascii="Arial" w:hAnsi="Arial" w:cs="Arial"/>
          <w:bCs/>
          <w:sz w:val="20"/>
          <w:szCs w:val="20"/>
        </w:rPr>
        <w:t>Cámara de Consultores en Arquitectura e Ingeniería y el público en general.</w:t>
      </w:r>
    </w:p>
    <w:p w:rsidR="00666328" w:rsidRPr="00666328" w:rsidRDefault="00666328" w:rsidP="00666328">
      <w:pPr>
        <w:pStyle w:val="Prrafodelista"/>
        <w:spacing w:after="0" w:line="240" w:lineRule="auto"/>
        <w:rPr>
          <w:rFonts w:ascii="Arial" w:hAnsi="Arial" w:cs="Arial"/>
          <w:bCs/>
          <w:sz w:val="20"/>
          <w:szCs w:val="20"/>
          <w:lang w:eastAsia="es-CR"/>
        </w:rPr>
      </w:pPr>
    </w:p>
    <w:p w:rsidR="00666328" w:rsidRPr="00666328" w:rsidRDefault="00666328" w:rsidP="00666328">
      <w:pPr>
        <w:numPr>
          <w:ilvl w:val="0"/>
          <w:numId w:val="26"/>
        </w:numPr>
        <w:spacing w:after="0" w:line="240" w:lineRule="auto"/>
        <w:jc w:val="both"/>
        <w:rPr>
          <w:rFonts w:ascii="Arial" w:hAnsi="Arial" w:cs="Arial"/>
          <w:bCs/>
          <w:sz w:val="20"/>
          <w:szCs w:val="20"/>
          <w:lang w:eastAsia="es-CR"/>
        </w:rPr>
      </w:pPr>
      <w:r w:rsidRPr="00666328">
        <w:rPr>
          <w:rFonts w:ascii="Arial" w:hAnsi="Arial" w:cs="Arial"/>
          <w:bCs/>
          <w:sz w:val="20"/>
          <w:szCs w:val="20"/>
          <w:lang w:eastAsia="es-CR"/>
        </w:rPr>
        <w:t xml:space="preserve">En los proyectos mediante el artículo 59 de la Ley del Sistema Financiero Nacional para la Vivienda, intervienen factores exógenos a la Institución que afectan la fluidez de los mismos, como son los permisos, las aprobaciones del BANHVI, desarrolladores contratados por las Asociaciones de Vivienda y no por el INVU, entre otros, lo que limita el margen de intervención directa de la Institución, para agilizar la producción de soluciones de vivienda. En el caso de las reparaciones, ampliaciones, mejoras y terminación (RAMT) afecta la diversidad de estructuras existentes. </w:t>
      </w:r>
    </w:p>
    <w:p w:rsidR="00666328" w:rsidRPr="00666328" w:rsidRDefault="00666328" w:rsidP="00666328">
      <w:pPr>
        <w:spacing w:after="0" w:line="240" w:lineRule="auto"/>
        <w:ind w:left="719"/>
        <w:jc w:val="both"/>
        <w:rPr>
          <w:rFonts w:ascii="Arial" w:hAnsi="Arial" w:cs="Arial"/>
          <w:bCs/>
          <w:sz w:val="20"/>
          <w:szCs w:val="20"/>
          <w:lang w:eastAsia="es-CR"/>
        </w:rPr>
      </w:pPr>
    </w:p>
    <w:p w:rsidR="00666328" w:rsidRPr="00666328" w:rsidRDefault="00666328" w:rsidP="00666328">
      <w:pPr>
        <w:numPr>
          <w:ilvl w:val="0"/>
          <w:numId w:val="26"/>
        </w:numPr>
        <w:spacing w:after="0" w:line="240" w:lineRule="auto"/>
        <w:jc w:val="both"/>
        <w:rPr>
          <w:rFonts w:ascii="Arial" w:hAnsi="Arial" w:cs="Arial"/>
          <w:bCs/>
          <w:sz w:val="20"/>
          <w:szCs w:val="20"/>
          <w:lang w:eastAsia="es-CR"/>
        </w:rPr>
      </w:pPr>
      <w:r w:rsidRPr="00666328">
        <w:rPr>
          <w:rFonts w:ascii="Arial" w:hAnsi="Arial" w:cs="Arial"/>
          <w:bCs/>
          <w:sz w:val="20"/>
          <w:szCs w:val="20"/>
          <w:lang w:eastAsia="es-CR"/>
        </w:rPr>
        <w:t xml:space="preserve">Por concepto de propiedades vendidas se recaudó un ingreso total de ¢389,4 millones. </w:t>
      </w:r>
    </w:p>
    <w:p w:rsidR="00666328" w:rsidRPr="00666328" w:rsidRDefault="00666328" w:rsidP="00666328">
      <w:pPr>
        <w:spacing w:after="0" w:line="240" w:lineRule="auto"/>
        <w:ind w:left="719"/>
        <w:jc w:val="both"/>
        <w:rPr>
          <w:rFonts w:ascii="Arial" w:hAnsi="Arial" w:cs="Arial"/>
          <w:bCs/>
          <w:sz w:val="20"/>
          <w:szCs w:val="20"/>
          <w:lang w:eastAsia="es-CR"/>
        </w:rPr>
      </w:pPr>
    </w:p>
    <w:p w:rsidR="00666328" w:rsidRPr="00666328" w:rsidRDefault="00666328" w:rsidP="00666328">
      <w:pPr>
        <w:numPr>
          <w:ilvl w:val="0"/>
          <w:numId w:val="26"/>
        </w:numPr>
        <w:spacing w:after="0" w:line="240" w:lineRule="auto"/>
        <w:jc w:val="both"/>
        <w:rPr>
          <w:rFonts w:ascii="Arial" w:hAnsi="Arial" w:cs="Arial"/>
          <w:bCs/>
          <w:sz w:val="20"/>
          <w:szCs w:val="20"/>
          <w:lang w:eastAsia="es-CR"/>
        </w:rPr>
      </w:pPr>
      <w:r w:rsidRPr="00666328">
        <w:rPr>
          <w:rFonts w:ascii="Arial" w:hAnsi="Arial" w:cs="Arial"/>
          <w:bCs/>
          <w:sz w:val="20"/>
          <w:szCs w:val="20"/>
          <w:lang w:eastAsia="es-CR"/>
        </w:rPr>
        <w:t>En el Sistema de Ahorro y Préstamo (SAP) se colocó un total de 4.208 contratos, que corresponden a un monto de ¢50.447,5 millones.</w:t>
      </w:r>
    </w:p>
    <w:p w:rsidR="00666328" w:rsidRPr="00666328" w:rsidRDefault="00666328" w:rsidP="00666328">
      <w:pPr>
        <w:spacing w:after="0" w:line="240" w:lineRule="auto"/>
        <w:jc w:val="center"/>
        <w:rPr>
          <w:rFonts w:ascii="Arial" w:hAnsi="Arial" w:cs="Arial"/>
          <w:b/>
          <w:bCs/>
          <w:sz w:val="20"/>
          <w:szCs w:val="20"/>
          <w:lang w:eastAsia="es-CR"/>
        </w:rPr>
      </w:pPr>
    </w:p>
    <w:p w:rsidR="00666328" w:rsidRPr="00666328" w:rsidRDefault="00666328" w:rsidP="00666328">
      <w:pPr>
        <w:spacing w:after="0" w:line="240" w:lineRule="auto"/>
        <w:jc w:val="center"/>
        <w:rPr>
          <w:rFonts w:ascii="Arial" w:hAnsi="Arial" w:cs="Arial"/>
          <w:b/>
          <w:bCs/>
          <w:sz w:val="20"/>
          <w:szCs w:val="20"/>
          <w:lang w:eastAsia="es-CR"/>
        </w:rPr>
      </w:pPr>
    </w:p>
    <w:p w:rsidR="00666328" w:rsidRPr="00666328" w:rsidRDefault="00666328" w:rsidP="00666328">
      <w:pPr>
        <w:spacing w:after="0" w:line="240" w:lineRule="auto"/>
        <w:jc w:val="center"/>
        <w:rPr>
          <w:rFonts w:ascii="Arial" w:hAnsi="Arial" w:cs="Arial"/>
          <w:b/>
          <w:bCs/>
          <w:sz w:val="20"/>
          <w:szCs w:val="20"/>
          <w:lang w:eastAsia="es-CR"/>
        </w:rPr>
      </w:pPr>
      <w:r w:rsidRPr="00666328">
        <w:rPr>
          <w:rFonts w:ascii="Arial" w:hAnsi="Arial" w:cs="Arial"/>
          <w:b/>
          <w:bCs/>
          <w:sz w:val="20"/>
          <w:szCs w:val="20"/>
          <w:lang w:eastAsia="es-CR"/>
        </w:rPr>
        <w:t>Ventas de Contratos por Tipo de Plan</w:t>
      </w:r>
    </w:p>
    <w:p w:rsidR="00666328" w:rsidRPr="00666328" w:rsidRDefault="00666328" w:rsidP="00666328">
      <w:pPr>
        <w:pStyle w:val="Textoindependiente"/>
        <w:spacing w:after="0" w:line="240" w:lineRule="auto"/>
        <w:ind w:left="719"/>
        <w:jc w:val="center"/>
        <w:rPr>
          <w:rFonts w:ascii="Arial" w:hAnsi="Arial" w:cs="Arial"/>
          <w:b/>
          <w:bCs/>
          <w:sz w:val="20"/>
          <w:szCs w:val="20"/>
          <w:lang w:eastAsia="es-CR"/>
        </w:rPr>
      </w:pPr>
      <w:r w:rsidRPr="00666328">
        <w:rPr>
          <w:rFonts w:ascii="Arial" w:hAnsi="Arial" w:cs="Arial"/>
          <w:b/>
          <w:bCs/>
          <w:sz w:val="20"/>
          <w:szCs w:val="20"/>
          <w:lang w:eastAsia="es-CR"/>
        </w:rPr>
        <w:t>Enero – diciembre 2017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1773"/>
        <w:gridCol w:w="1773"/>
        <w:gridCol w:w="1773"/>
      </w:tblGrid>
      <w:tr w:rsidR="00666328" w:rsidRPr="00666328" w:rsidTr="00A00F2A">
        <w:trPr>
          <w:trHeight w:val="265"/>
          <w:jc w:val="center"/>
        </w:trPr>
        <w:tc>
          <w:tcPr>
            <w:tcW w:w="1773" w:type="dxa"/>
            <w:shd w:val="clear" w:color="auto" w:fill="auto"/>
          </w:tcPr>
          <w:p w:rsidR="00666328" w:rsidRPr="00666328" w:rsidRDefault="00666328" w:rsidP="00666328">
            <w:pPr>
              <w:spacing w:after="0" w:line="240" w:lineRule="auto"/>
              <w:jc w:val="center"/>
              <w:rPr>
                <w:rFonts w:ascii="Arial" w:hAnsi="Arial" w:cs="Arial"/>
                <w:b/>
                <w:sz w:val="20"/>
                <w:szCs w:val="20"/>
              </w:rPr>
            </w:pPr>
            <w:r w:rsidRPr="00666328">
              <w:rPr>
                <w:rFonts w:ascii="Arial" w:hAnsi="Arial" w:cs="Arial"/>
                <w:b/>
                <w:sz w:val="20"/>
                <w:szCs w:val="20"/>
              </w:rPr>
              <w:t>Planes</w:t>
            </w:r>
          </w:p>
        </w:tc>
        <w:tc>
          <w:tcPr>
            <w:tcW w:w="1773" w:type="dxa"/>
            <w:shd w:val="clear" w:color="auto" w:fill="auto"/>
          </w:tcPr>
          <w:p w:rsidR="00666328" w:rsidRPr="00666328" w:rsidRDefault="00666328" w:rsidP="00666328">
            <w:pPr>
              <w:spacing w:after="0" w:line="240" w:lineRule="auto"/>
              <w:jc w:val="center"/>
              <w:rPr>
                <w:rFonts w:ascii="Arial" w:hAnsi="Arial" w:cs="Arial"/>
                <w:b/>
                <w:sz w:val="20"/>
                <w:szCs w:val="20"/>
              </w:rPr>
            </w:pPr>
            <w:r w:rsidRPr="00666328">
              <w:rPr>
                <w:rFonts w:ascii="Arial" w:hAnsi="Arial" w:cs="Arial"/>
                <w:b/>
                <w:sz w:val="20"/>
                <w:szCs w:val="20"/>
              </w:rPr>
              <w:t>N° Contratos</w:t>
            </w:r>
          </w:p>
        </w:tc>
        <w:tc>
          <w:tcPr>
            <w:tcW w:w="3546" w:type="dxa"/>
            <w:gridSpan w:val="2"/>
            <w:shd w:val="clear" w:color="auto" w:fill="auto"/>
          </w:tcPr>
          <w:p w:rsidR="00666328" w:rsidRPr="00666328" w:rsidRDefault="00666328" w:rsidP="00666328">
            <w:pPr>
              <w:spacing w:after="0" w:line="240" w:lineRule="auto"/>
              <w:jc w:val="center"/>
              <w:rPr>
                <w:rFonts w:ascii="Arial" w:hAnsi="Arial" w:cs="Arial"/>
                <w:b/>
                <w:sz w:val="20"/>
                <w:szCs w:val="20"/>
              </w:rPr>
            </w:pPr>
            <w:r w:rsidRPr="00666328">
              <w:rPr>
                <w:rFonts w:ascii="Arial" w:hAnsi="Arial" w:cs="Arial"/>
                <w:b/>
                <w:sz w:val="20"/>
                <w:szCs w:val="20"/>
              </w:rPr>
              <w:t>Ventas</w:t>
            </w:r>
          </w:p>
        </w:tc>
      </w:tr>
      <w:tr w:rsidR="00666328" w:rsidRPr="00666328" w:rsidTr="00A00F2A">
        <w:trPr>
          <w:trHeight w:val="265"/>
          <w:jc w:val="center"/>
        </w:trPr>
        <w:tc>
          <w:tcPr>
            <w:tcW w:w="1773" w:type="dxa"/>
            <w:shd w:val="clear" w:color="auto" w:fill="auto"/>
            <w:vAlign w:val="center"/>
          </w:tcPr>
          <w:p w:rsidR="00666328" w:rsidRPr="00666328" w:rsidRDefault="00666328" w:rsidP="00666328">
            <w:pPr>
              <w:spacing w:after="0" w:line="240" w:lineRule="auto"/>
              <w:jc w:val="center"/>
              <w:rPr>
                <w:rFonts w:ascii="Arial" w:hAnsi="Arial" w:cs="Arial"/>
                <w:color w:val="000000"/>
                <w:sz w:val="20"/>
                <w:szCs w:val="20"/>
              </w:rPr>
            </w:pPr>
            <w:r w:rsidRPr="00666328">
              <w:rPr>
                <w:rFonts w:ascii="Arial" w:hAnsi="Arial" w:cs="Arial"/>
                <w:color w:val="000000"/>
                <w:sz w:val="20"/>
                <w:szCs w:val="20"/>
              </w:rPr>
              <w:t>2 - 4</w:t>
            </w:r>
          </w:p>
        </w:tc>
        <w:tc>
          <w:tcPr>
            <w:tcW w:w="1773" w:type="dxa"/>
            <w:shd w:val="clear" w:color="auto" w:fill="auto"/>
            <w:vAlign w:val="center"/>
          </w:tcPr>
          <w:p w:rsidR="00666328" w:rsidRPr="00666328" w:rsidRDefault="00666328" w:rsidP="00666328">
            <w:pPr>
              <w:spacing w:after="0" w:line="240" w:lineRule="auto"/>
              <w:jc w:val="center"/>
              <w:rPr>
                <w:rFonts w:ascii="Arial" w:hAnsi="Arial" w:cs="Arial"/>
                <w:color w:val="000000"/>
                <w:sz w:val="20"/>
                <w:szCs w:val="20"/>
              </w:rPr>
            </w:pPr>
            <w:r w:rsidRPr="00666328">
              <w:rPr>
                <w:rFonts w:ascii="Arial" w:hAnsi="Arial" w:cs="Arial"/>
                <w:color w:val="000000"/>
                <w:sz w:val="20"/>
                <w:szCs w:val="20"/>
              </w:rPr>
              <w:t>88</w:t>
            </w:r>
          </w:p>
        </w:tc>
        <w:tc>
          <w:tcPr>
            <w:tcW w:w="1773" w:type="dxa"/>
            <w:shd w:val="clear" w:color="auto" w:fill="auto"/>
            <w:vAlign w:val="center"/>
          </w:tcPr>
          <w:p w:rsidR="00666328" w:rsidRPr="00666328" w:rsidRDefault="00666328" w:rsidP="00666328">
            <w:pPr>
              <w:spacing w:after="0" w:line="240" w:lineRule="auto"/>
              <w:jc w:val="center"/>
              <w:rPr>
                <w:rFonts w:ascii="Arial" w:hAnsi="Arial" w:cs="Arial"/>
                <w:color w:val="000000"/>
                <w:sz w:val="20"/>
                <w:szCs w:val="20"/>
              </w:rPr>
            </w:pPr>
            <w:r w:rsidRPr="00666328">
              <w:rPr>
                <w:rFonts w:ascii="Arial" w:hAnsi="Arial" w:cs="Arial"/>
                <w:color w:val="000000"/>
                <w:sz w:val="20"/>
                <w:szCs w:val="20"/>
              </w:rPr>
              <w:t>846,0</w:t>
            </w:r>
          </w:p>
        </w:tc>
        <w:tc>
          <w:tcPr>
            <w:tcW w:w="1773" w:type="dxa"/>
            <w:vAlign w:val="bottom"/>
          </w:tcPr>
          <w:p w:rsidR="00666328" w:rsidRPr="00666328" w:rsidRDefault="00666328" w:rsidP="00666328">
            <w:pPr>
              <w:spacing w:after="0" w:line="240" w:lineRule="auto"/>
              <w:jc w:val="center"/>
              <w:rPr>
                <w:rFonts w:ascii="Arial" w:hAnsi="Arial" w:cs="Arial"/>
                <w:color w:val="000000"/>
                <w:sz w:val="20"/>
                <w:szCs w:val="20"/>
              </w:rPr>
            </w:pPr>
            <w:r w:rsidRPr="00666328">
              <w:rPr>
                <w:rFonts w:ascii="Arial" w:hAnsi="Arial" w:cs="Arial"/>
                <w:color w:val="000000"/>
                <w:sz w:val="20"/>
                <w:szCs w:val="20"/>
              </w:rPr>
              <w:t>2%</w:t>
            </w:r>
          </w:p>
        </w:tc>
      </w:tr>
      <w:tr w:rsidR="00666328" w:rsidRPr="00666328" w:rsidTr="00A00F2A">
        <w:trPr>
          <w:trHeight w:val="265"/>
          <w:jc w:val="center"/>
        </w:trPr>
        <w:tc>
          <w:tcPr>
            <w:tcW w:w="1773" w:type="dxa"/>
            <w:shd w:val="clear" w:color="auto" w:fill="auto"/>
            <w:vAlign w:val="center"/>
          </w:tcPr>
          <w:p w:rsidR="00666328" w:rsidRPr="00666328" w:rsidRDefault="00666328" w:rsidP="00666328">
            <w:pPr>
              <w:spacing w:after="0" w:line="240" w:lineRule="auto"/>
              <w:jc w:val="center"/>
              <w:rPr>
                <w:rFonts w:ascii="Arial" w:hAnsi="Arial" w:cs="Arial"/>
                <w:color w:val="000000"/>
                <w:sz w:val="20"/>
                <w:szCs w:val="20"/>
              </w:rPr>
            </w:pPr>
            <w:r w:rsidRPr="00666328">
              <w:rPr>
                <w:rFonts w:ascii="Arial" w:hAnsi="Arial" w:cs="Arial"/>
                <w:color w:val="000000"/>
                <w:sz w:val="20"/>
                <w:szCs w:val="20"/>
              </w:rPr>
              <w:t>3 - 6</w:t>
            </w:r>
          </w:p>
        </w:tc>
        <w:tc>
          <w:tcPr>
            <w:tcW w:w="1773" w:type="dxa"/>
            <w:shd w:val="clear" w:color="auto" w:fill="auto"/>
            <w:vAlign w:val="center"/>
          </w:tcPr>
          <w:p w:rsidR="00666328" w:rsidRPr="00666328" w:rsidRDefault="00666328" w:rsidP="00666328">
            <w:pPr>
              <w:spacing w:after="0" w:line="240" w:lineRule="auto"/>
              <w:jc w:val="center"/>
              <w:rPr>
                <w:rFonts w:ascii="Arial" w:hAnsi="Arial" w:cs="Arial"/>
                <w:color w:val="000000"/>
                <w:sz w:val="20"/>
                <w:szCs w:val="20"/>
              </w:rPr>
            </w:pPr>
            <w:r w:rsidRPr="00666328">
              <w:rPr>
                <w:rFonts w:ascii="Arial" w:hAnsi="Arial" w:cs="Arial"/>
                <w:color w:val="000000"/>
                <w:sz w:val="20"/>
                <w:szCs w:val="20"/>
              </w:rPr>
              <w:t>287</w:t>
            </w:r>
          </w:p>
        </w:tc>
        <w:tc>
          <w:tcPr>
            <w:tcW w:w="1773" w:type="dxa"/>
            <w:shd w:val="clear" w:color="auto" w:fill="auto"/>
            <w:vAlign w:val="center"/>
          </w:tcPr>
          <w:p w:rsidR="00666328" w:rsidRPr="00666328" w:rsidRDefault="00666328" w:rsidP="00666328">
            <w:pPr>
              <w:spacing w:after="0" w:line="240" w:lineRule="auto"/>
              <w:jc w:val="center"/>
              <w:rPr>
                <w:rFonts w:ascii="Arial" w:hAnsi="Arial" w:cs="Arial"/>
                <w:color w:val="000000"/>
                <w:sz w:val="20"/>
                <w:szCs w:val="20"/>
              </w:rPr>
            </w:pPr>
            <w:r w:rsidRPr="00666328">
              <w:rPr>
                <w:rFonts w:ascii="Arial" w:hAnsi="Arial" w:cs="Arial"/>
                <w:color w:val="000000"/>
                <w:sz w:val="20"/>
                <w:szCs w:val="20"/>
              </w:rPr>
              <w:t>3.477,5</w:t>
            </w:r>
          </w:p>
        </w:tc>
        <w:tc>
          <w:tcPr>
            <w:tcW w:w="1773" w:type="dxa"/>
            <w:vAlign w:val="bottom"/>
          </w:tcPr>
          <w:p w:rsidR="00666328" w:rsidRPr="00666328" w:rsidRDefault="00666328" w:rsidP="00666328">
            <w:pPr>
              <w:spacing w:after="0" w:line="240" w:lineRule="auto"/>
              <w:jc w:val="center"/>
              <w:rPr>
                <w:rFonts w:ascii="Arial" w:hAnsi="Arial" w:cs="Arial"/>
                <w:color w:val="000000"/>
                <w:sz w:val="20"/>
                <w:szCs w:val="20"/>
              </w:rPr>
            </w:pPr>
            <w:r w:rsidRPr="00666328">
              <w:rPr>
                <w:rFonts w:ascii="Arial" w:hAnsi="Arial" w:cs="Arial"/>
                <w:color w:val="000000"/>
                <w:sz w:val="20"/>
                <w:szCs w:val="20"/>
              </w:rPr>
              <w:t>7%</w:t>
            </w:r>
          </w:p>
        </w:tc>
      </w:tr>
      <w:tr w:rsidR="00666328" w:rsidRPr="00666328" w:rsidTr="00A00F2A">
        <w:trPr>
          <w:trHeight w:val="265"/>
          <w:jc w:val="center"/>
        </w:trPr>
        <w:tc>
          <w:tcPr>
            <w:tcW w:w="1773" w:type="dxa"/>
            <w:shd w:val="clear" w:color="auto" w:fill="auto"/>
            <w:vAlign w:val="center"/>
          </w:tcPr>
          <w:p w:rsidR="00666328" w:rsidRPr="00666328" w:rsidRDefault="00666328" w:rsidP="00666328">
            <w:pPr>
              <w:spacing w:after="0" w:line="240" w:lineRule="auto"/>
              <w:jc w:val="center"/>
              <w:rPr>
                <w:rFonts w:ascii="Arial" w:hAnsi="Arial" w:cs="Arial"/>
                <w:color w:val="000000"/>
                <w:sz w:val="20"/>
                <w:szCs w:val="20"/>
              </w:rPr>
            </w:pPr>
            <w:r w:rsidRPr="00666328">
              <w:rPr>
                <w:rFonts w:ascii="Arial" w:hAnsi="Arial" w:cs="Arial"/>
                <w:color w:val="000000"/>
                <w:sz w:val="20"/>
                <w:szCs w:val="20"/>
              </w:rPr>
              <w:t>4 - 7</w:t>
            </w:r>
          </w:p>
        </w:tc>
        <w:tc>
          <w:tcPr>
            <w:tcW w:w="1773" w:type="dxa"/>
            <w:shd w:val="clear" w:color="auto" w:fill="auto"/>
            <w:vAlign w:val="center"/>
          </w:tcPr>
          <w:p w:rsidR="00666328" w:rsidRPr="00666328" w:rsidRDefault="00666328" w:rsidP="00666328">
            <w:pPr>
              <w:spacing w:after="0" w:line="240" w:lineRule="auto"/>
              <w:jc w:val="center"/>
              <w:rPr>
                <w:rFonts w:ascii="Arial" w:hAnsi="Arial" w:cs="Arial"/>
                <w:color w:val="000000"/>
                <w:sz w:val="20"/>
                <w:szCs w:val="20"/>
              </w:rPr>
            </w:pPr>
            <w:r w:rsidRPr="00666328">
              <w:rPr>
                <w:rFonts w:ascii="Arial" w:hAnsi="Arial" w:cs="Arial"/>
                <w:color w:val="000000"/>
                <w:sz w:val="20"/>
                <w:szCs w:val="20"/>
              </w:rPr>
              <w:t>441</w:t>
            </w:r>
          </w:p>
        </w:tc>
        <w:tc>
          <w:tcPr>
            <w:tcW w:w="1773" w:type="dxa"/>
            <w:shd w:val="clear" w:color="auto" w:fill="auto"/>
            <w:vAlign w:val="center"/>
          </w:tcPr>
          <w:p w:rsidR="00666328" w:rsidRPr="00666328" w:rsidRDefault="00666328" w:rsidP="00666328">
            <w:pPr>
              <w:spacing w:after="0" w:line="240" w:lineRule="auto"/>
              <w:jc w:val="center"/>
              <w:rPr>
                <w:rFonts w:ascii="Arial" w:hAnsi="Arial" w:cs="Arial"/>
                <w:color w:val="000000"/>
                <w:sz w:val="20"/>
                <w:szCs w:val="20"/>
              </w:rPr>
            </w:pPr>
            <w:r w:rsidRPr="00666328">
              <w:rPr>
                <w:rFonts w:ascii="Arial" w:hAnsi="Arial" w:cs="Arial"/>
                <w:color w:val="000000"/>
                <w:sz w:val="20"/>
                <w:szCs w:val="20"/>
              </w:rPr>
              <w:t>5.782,0</w:t>
            </w:r>
          </w:p>
        </w:tc>
        <w:tc>
          <w:tcPr>
            <w:tcW w:w="1773" w:type="dxa"/>
            <w:vAlign w:val="bottom"/>
          </w:tcPr>
          <w:p w:rsidR="00666328" w:rsidRPr="00666328" w:rsidRDefault="00666328" w:rsidP="00666328">
            <w:pPr>
              <w:spacing w:after="0" w:line="240" w:lineRule="auto"/>
              <w:jc w:val="center"/>
              <w:rPr>
                <w:rFonts w:ascii="Arial" w:hAnsi="Arial" w:cs="Arial"/>
                <w:color w:val="000000"/>
                <w:sz w:val="20"/>
                <w:szCs w:val="20"/>
              </w:rPr>
            </w:pPr>
            <w:r w:rsidRPr="00666328">
              <w:rPr>
                <w:rFonts w:ascii="Arial" w:hAnsi="Arial" w:cs="Arial"/>
                <w:color w:val="000000"/>
                <w:sz w:val="20"/>
                <w:szCs w:val="20"/>
              </w:rPr>
              <w:t>11%</w:t>
            </w:r>
          </w:p>
        </w:tc>
      </w:tr>
      <w:tr w:rsidR="00666328" w:rsidRPr="00666328" w:rsidTr="00A00F2A">
        <w:trPr>
          <w:trHeight w:val="265"/>
          <w:jc w:val="center"/>
        </w:trPr>
        <w:tc>
          <w:tcPr>
            <w:tcW w:w="1773" w:type="dxa"/>
            <w:shd w:val="clear" w:color="auto" w:fill="auto"/>
            <w:vAlign w:val="center"/>
          </w:tcPr>
          <w:p w:rsidR="00666328" w:rsidRPr="00666328" w:rsidRDefault="00666328" w:rsidP="00666328">
            <w:pPr>
              <w:spacing w:after="0" w:line="240" w:lineRule="auto"/>
              <w:jc w:val="center"/>
              <w:rPr>
                <w:rFonts w:ascii="Arial" w:hAnsi="Arial" w:cs="Arial"/>
                <w:color w:val="000000"/>
                <w:sz w:val="20"/>
                <w:szCs w:val="20"/>
              </w:rPr>
            </w:pPr>
            <w:r w:rsidRPr="00666328">
              <w:rPr>
                <w:rFonts w:ascii="Arial" w:hAnsi="Arial" w:cs="Arial"/>
                <w:color w:val="000000"/>
                <w:sz w:val="20"/>
                <w:szCs w:val="20"/>
              </w:rPr>
              <w:t>5 - 8</w:t>
            </w:r>
          </w:p>
        </w:tc>
        <w:tc>
          <w:tcPr>
            <w:tcW w:w="1773" w:type="dxa"/>
            <w:shd w:val="clear" w:color="auto" w:fill="auto"/>
            <w:vAlign w:val="center"/>
          </w:tcPr>
          <w:p w:rsidR="00666328" w:rsidRPr="00666328" w:rsidRDefault="00666328" w:rsidP="00666328">
            <w:pPr>
              <w:spacing w:after="0" w:line="240" w:lineRule="auto"/>
              <w:jc w:val="center"/>
              <w:rPr>
                <w:rFonts w:ascii="Arial" w:hAnsi="Arial" w:cs="Arial"/>
                <w:color w:val="000000"/>
                <w:sz w:val="20"/>
                <w:szCs w:val="20"/>
              </w:rPr>
            </w:pPr>
            <w:r w:rsidRPr="00666328">
              <w:rPr>
                <w:rFonts w:ascii="Arial" w:hAnsi="Arial" w:cs="Arial"/>
                <w:color w:val="000000"/>
                <w:sz w:val="20"/>
                <w:szCs w:val="20"/>
              </w:rPr>
              <w:t>312</w:t>
            </w:r>
          </w:p>
        </w:tc>
        <w:tc>
          <w:tcPr>
            <w:tcW w:w="1773" w:type="dxa"/>
            <w:shd w:val="clear" w:color="auto" w:fill="auto"/>
            <w:vAlign w:val="center"/>
          </w:tcPr>
          <w:p w:rsidR="00666328" w:rsidRPr="00666328" w:rsidRDefault="00666328" w:rsidP="00666328">
            <w:pPr>
              <w:spacing w:after="0" w:line="240" w:lineRule="auto"/>
              <w:jc w:val="center"/>
              <w:rPr>
                <w:rFonts w:ascii="Arial" w:hAnsi="Arial" w:cs="Arial"/>
                <w:color w:val="000000"/>
                <w:sz w:val="20"/>
                <w:szCs w:val="20"/>
              </w:rPr>
            </w:pPr>
            <w:r w:rsidRPr="00666328">
              <w:rPr>
                <w:rFonts w:ascii="Arial" w:hAnsi="Arial" w:cs="Arial"/>
                <w:color w:val="000000"/>
                <w:sz w:val="20"/>
                <w:szCs w:val="20"/>
              </w:rPr>
              <w:t>3.773,0</w:t>
            </w:r>
          </w:p>
        </w:tc>
        <w:tc>
          <w:tcPr>
            <w:tcW w:w="1773" w:type="dxa"/>
            <w:vAlign w:val="bottom"/>
          </w:tcPr>
          <w:p w:rsidR="00666328" w:rsidRPr="00666328" w:rsidRDefault="00666328" w:rsidP="00666328">
            <w:pPr>
              <w:spacing w:after="0" w:line="240" w:lineRule="auto"/>
              <w:jc w:val="center"/>
              <w:rPr>
                <w:rFonts w:ascii="Arial" w:hAnsi="Arial" w:cs="Arial"/>
                <w:color w:val="000000"/>
                <w:sz w:val="20"/>
                <w:szCs w:val="20"/>
              </w:rPr>
            </w:pPr>
            <w:r w:rsidRPr="00666328">
              <w:rPr>
                <w:rFonts w:ascii="Arial" w:hAnsi="Arial" w:cs="Arial"/>
                <w:color w:val="000000"/>
                <w:sz w:val="20"/>
                <w:szCs w:val="20"/>
              </w:rPr>
              <w:t>7%</w:t>
            </w:r>
          </w:p>
        </w:tc>
      </w:tr>
      <w:tr w:rsidR="00666328" w:rsidRPr="00666328" w:rsidTr="00A00F2A">
        <w:trPr>
          <w:trHeight w:val="265"/>
          <w:jc w:val="center"/>
        </w:trPr>
        <w:tc>
          <w:tcPr>
            <w:tcW w:w="1773" w:type="dxa"/>
            <w:shd w:val="clear" w:color="auto" w:fill="auto"/>
            <w:vAlign w:val="center"/>
          </w:tcPr>
          <w:p w:rsidR="00666328" w:rsidRPr="00666328" w:rsidRDefault="00666328" w:rsidP="00666328">
            <w:pPr>
              <w:spacing w:after="0" w:line="240" w:lineRule="auto"/>
              <w:jc w:val="center"/>
              <w:rPr>
                <w:rFonts w:ascii="Arial" w:hAnsi="Arial" w:cs="Arial"/>
                <w:color w:val="000000"/>
                <w:sz w:val="20"/>
                <w:szCs w:val="20"/>
              </w:rPr>
            </w:pPr>
            <w:r w:rsidRPr="00666328">
              <w:rPr>
                <w:rFonts w:ascii="Arial" w:hAnsi="Arial" w:cs="Arial"/>
                <w:color w:val="000000"/>
                <w:sz w:val="20"/>
                <w:szCs w:val="20"/>
              </w:rPr>
              <w:t>6 - 9</w:t>
            </w:r>
          </w:p>
        </w:tc>
        <w:tc>
          <w:tcPr>
            <w:tcW w:w="1773" w:type="dxa"/>
            <w:shd w:val="clear" w:color="auto" w:fill="auto"/>
            <w:vAlign w:val="center"/>
          </w:tcPr>
          <w:p w:rsidR="00666328" w:rsidRPr="00666328" w:rsidRDefault="00666328" w:rsidP="00666328">
            <w:pPr>
              <w:spacing w:after="0" w:line="240" w:lineRule="auto"/>
              <w:jc w:val="center"/>
              <w:rPr>
                <w:rFonts w:ascii="Arial" w:hAnsi="Arial" w:cs="Arial"/>
                <w:color w:val="000000"/>
                <w:sz w:val="20"/>
                <w:szCs w:val="20"/>
              </w:rPr>
            </w:pPr>
            <w:r w:rsidRPr="00666328">
              <w:rPr>
                <w:rFonts w:ascii="Arial" w:hAnsi="Arial" w:cs="Arial"/>
                <w:color w:val="000000"/>
                <w:sz w:val="20"/>
                <w:szCs w:val="20"/>
              </w:rPr>
              <w:t>38</w:t>
            </w:r>
          </w:p>
        </w:tc>
        <w:tc>
          <w:tcPr>
            <w:tcW w:w="1773" w:type="dxa"/>
            <w:shd w:val="clear" w:color="auto" w:fill="auto"/>
            <w:vAlign w:val="center"/>
          </w:tcPr>
          <w:p w:rsidR="00666328" w:rsidRPr="00666328" w:rsidRDefault="00666328" w:rsidP="00666328">
            <w:pPr>
              <w:spacing w:after="0" w:line="240" w:lineRule="auto"/>
              <w:jc w:val="center"/>
              <w:rPr>
                <w:rFonts w:ascii="Arial" w:hAnsi="Arial" w:cs="Arial"/>
                <w:color w:val="000000"/>
                <w:sz w:val="20"/>
                <w:szCs w:val="20"/>
              </w:rPr>
            </w:pPr>
            <w:r w:rsidRPr="00666328">
              <w:rPr>
                <w:rFonts w:ascii="Arial" w:hAnsi="Arial" w:cs="Arial"/>
                <w:color w:val="000000"/>
                <w:sz w:val="20"/>
                <w:szCs w:val="20"/>
              </w:rPr>
              <w:t>500,0</w:t>
            </w:r>
          </w:p>
        </w:tc>
        <w:tc>
          <w:tcPr>
            <w:tcW w:w="1773" w:type="dxa"/>
            <w:vAlign w:val="bottom"/>
          </w:tcPr>
          <w:p w:rsidR="00666328" w:rsidRPr="00666328" w:rsidRDefault="00666328" w:rsidP="00666328">
            <w:pPr>
              <w:spacing w:after="0" w:line="240" w:lineRule="auto"/>
              <w:jc w:val="center"/>
              <w:rPr>
                <w:rFonts w:ascii="Arial" w:hAnsi="Arial" w:cs="Arial"/>
                <w:color w:val="000000"/>
                <w:sz w:val="20"/>
                <w:szCs w:val="20"/>
              </w:rPr>
            </w:pPr>
            <w:r w:rsidRPr="00666328">
              <w:rPr>
                <w:rFonts w:ascii="Arial" w:hAnsi="Arial" w:cs="Arial"/>
                <w:color w:val="000000"/>
                <w:sz w:val="20"/>
                <w:szCs w:val="20"/>
              </w:rPr>
              <w:t>1%</w:t>
            </w:r>
          </w:p>
        </w:tc>
      </w:tr>
      <w:tr w:rsidR="00666328" w:rsidRPr="00666328" w:rsidTr="00A00F2A">
        <w:trPr>
          <w:trHeight w:val="265"/>
          <w:jc w:val="center"/>
        </w:trPr>
        <w:tc>
          <w:tcPr>
            <w:tcW w:w="1773" w:type="dxa"/>
            <w:shd w:val="clear" w:color="auto" w:fill="auto"/>
            <w:vAlign w:val="center"/>
          </w:tcPr>
          <w:p w:rsidR="00666328" w:rsidRPr="00666328" w:rsidRDefault="00666328" w:rsidP="00666328">
            <w:pPr>
              <w:spacing w:after="0" w:line="240" w:lineRule="auto"/>
              <w:jc w:val="center"/>
              <w:rPr>
                <w:rFonts w:ascii="Arial" w:hAnsi="Arial" w:cs="Arial"/>
                <w:color w:val="000000"/>
                <w:sz w:val="20"/>
                <w:szCs w:val="20"/>
              </w:rPr>
            </w:pPr>
            <w:r w:rsidRPr="00666328">
              <w:rPr>
                <w:rFonts w:ascii="Arial" w:hAnsi="Arial" w:cs="Arial"/>
                <w:color w:val="000000"/>
                <w:sz w:val="20"/>
                <w:szCs w:val="20"/>
              </w:rPr>
              <w:t>7 - 10</w:t>
            </w:r>
          </w:p>
        </w:tc>
        <w:tc>
          <w:tcPr>
            <w:tcW w:w="1773" w:type="dxa"/>
            <w:shd w:val="clear" w:color="auto" w:fill="auto"/>
            <w:vAlign w:val="center"/>
          </w:tcPr>
          <w:p w:rsidR="00666328" w:rsidRPr="00666328" w:rsidRDefault="00666328" w:rsidP="00666328">
            <w:pPr>
              <w:spacing w:after="0" w:line="240" w:lineRule="auto"/>
              <w:jc w:val="center"/>
              <w:rPr>
                <w:rFonts w:ascii="Arial" w:hAnsi="Arial" w:cs="Arial"/>
                <w:color w:val="000000"/>
                <w:sz w:val="20"/>
                <w:szCs w:val="20"/>
              </w:rPr>
            </w:pPr>
            <w:r w:rsidRPr="00666328">
              <w:rPr>
                <w:rFonts w:ascii="Arial" w:hAnsi="Arial" w:cs="Arial"/>
                <w:color w:val="000000"/>
                <w:sz w:val="20"/>
                <w:szCs w:val="20"/>
              </w:rPr>
              <w:t>253</w:t>
            </w:r>
          </w:p>
        </w:tc>
        <w:tc>
          <w:tcPr>
            <w:tcW w:w="1773" w:type="dxa"/>
            <w:shd w:val="clear" w:color="auto" w:fill="auto"/>
            <w:vAlign w:val="center"/>
          </w:tcPr>
          <w:p w:rsidR="00666328" w:rsidRPr="00666328" w:rsidRDefault="00666328" w:rsidP="00666328">
            <w:pPr>
              <w:spacing w:after="0" w:line="240" w:lineRule="auto"/>
              <w:jc w:val="center"/>
              <w:rPr>
                <w:rFonts w:ascii="Arial" w:hAnsi="Arial" w:cs="Arial"/>
                <w:color w:val="000000"/>
                <w:sz w:val="20"/>
                <w:szCs w:val="20"/>
              </w:rPr>
            </w:pPr>
            <w:r w:rsidRPr="00666328">
              <w:rPr>
                <w:rFonts w:ascii="Arial" w:hAnsi="Arial" w:cs="Arial"/>
                <w:color w:val="000000"/>
                <w:sz w:val="20"/>
                <w:szCs w:val="20"/>
              </w:rPr>
              <w:t>3.215,0</w:t>
            </w:r>
          </w:p>
        </w:tc>
        <w:tc>
          <w:tcPr>
            <w:tcW w:w="1773" w:type="dxa"/>
            <w:vAlign w:val="bottom"/>
          </w:tcPr>
          <w:p w:rsidR="00666328" w:rsidRPr="00666328" w:rsidRDefault="00666328" w:rsidP="00666328">
            <w:pPr>
              <w:spacing w:after="0" w:line="240" w:lineRule="auto"/>
              <w:jc w:val="center"/>
              <w:rPr>
                <w:rFonts w:ascii="Arial" w:hAnsi="Arial" w:cs="Arial"/>
                <w:color w:val="000000"/>
                <w:sz w:val="20"/>
                <w:szCs w:val="20"/>
              </w:rPr>
            </w:pPr>
            <w:r w:rsidRPr="00666328">
              <w:rPr>
                <w:rFonts w:ascii="Arial" w:hAnsi="Arial" w:cs="Arial"/>
                <w:color w:val="000000"/>
                <w:sz w:val="20"/>
                <w:szCs w:val="20"/>
              </w:rPr>
              <w:t>6%</w:t>
            </w:r>
          </w:p>
        </w:tc>
      </w:tr>
      <w:tr w:rsidR="00666328" w:rsidRPr="00666328" w:rsidTr="00A00F2A">
        <w:trPr>
          <w:trHeight w:val="265"/>
          <w:jc w:val="center"/>
        </w:trPr>
        <w:tc>
          <w:tcPr>
            <w:tcW w:w="1773" w:type="dxa"/>
            <w:shd w:val="clear" w:color="auto" w:fill="auto"/>
            <w:vAlign w:val="center"/>
          </w:tcPr>
          <w:p w:rsidR="00666328" w:rsidRPr="00666328" w:rsidRDefault="00666328" w:rsidP="00666328">
            <w:pPr>
              <w:spacing w:after="0" w:line="240" w:lineRule="auto"/>
              <w:jc w:val="center"/>
              <w:rPr>
                <w:rFonts w:ascii="Arial" w:hAnsi="Arial" w:cs="Arial"/>
                <w:color w:val="000000"/>
                <w:sz w:val="20"/>
                <w:szCs w:val="20"/>
              </w:rPr>
            </w:pPr>
            <w:r w:rsidRPr="00666328">
              <w:rPr>
                <w:rFonts w:ascii="Arial" w:hAnsi="Arial" w:cs="Arial"/>
                <w:color w:val="000000"/>
                <w:sz w:val="20"/>
                <w:szCs w:val="20"/>
              </w:rPr>
              <w:t>8 - 11</w:t>
            </w:r>
          </w:p>
        </w:tc>
        <w:tc>
          <w:tcPr>
            <w:tcW w:w="1773" w:type="dxa"/>
            <w:shd w:val="clear" w:color="auto" w:fill="auto"/>
            <w:vAlign w:val="center"/>
          </w:tcPr>
          <w:p w:rsidR="00666328" w:rsidRPr="00666328" w:rsidRDefault="00666328" w:rsidP="00666328">
            <w:pPr>
              <w:spacing w:after="0" w:line="240" w:lineRule="auto"/>
              <w:jc w:val="center"/>
              <w:rPr>
                <w:rFonts w:ascii="Arial" w:hAnsi="Arial" w:cs="Arial"/>
                <w:color w:val="000000"/>
                <w:sz w:val="20"/>
                <w:szCs w:val="20"/>
              </w:rPr>
            </w:pPr>
            <w:r w:rsidRPr="00666328">
              <w:rPr>
                <w:rFonts w:ascii="Arial" w:hAnsi="Arial" w:cs="Arial"/>
                <w:color w:val="000000"/>
                <w:sz w:val="20"/>
                <w:szCs w:val="20"/>
              </w:rPr>
              <w:t>59</w:t>
            </w:r>
          </w:p>
        </w:tc>
        <w:tc>
          <w:tcPr>
            <w:tcW w:w="1773" w:type="dxa"/>
            <w:shd w:val="clear" w:color="auto" w:fill="auto"/>
            <w:vAlign w:val="center"/>
          </w:tcPr>
          <w:p w:rsidR="00666328" w:rsidRPr="00666328" w:rsidRDefault="00666328" w:rsidP="00666328">
            <w:pPr>
              <w:spacing w:after="0" w:line="240" w:lineRule="auto"/>
              <w:jc w:val="center"/>
              <w:rPr>
                <w:rFonts w:ascii="Arial" w:hAnsi="Arial" w:cs="Arial"/>
                <w:color w:val="000000"/>
                <w:sz w:val="20"/>
                <w:szCs w:val="20"/>
              </w:rPr>
            </w:pPr>
            <w:r w:rsidRPr="00666328">
              <w:rPr>
                <w:rFonts w:ascii="Arial" w:hAnsi="Arial" w:cs="Arial"/>
                <w:color w:val="000000"/>
                <w:sz w:val="20"/>
                <w:szCs w:val="20"/>
              </w:rPr>
              <w:t>675,0</w:t>
            </w:r>
          </w:p>
        </w:tc>
        <w:tc>
          <w:tcPr>
            <w:tcW w:w="1773" w:type="dxa"/>
            <w:vAlign w:val="bottom"/>
          </w:tcPr>
          <w:p w:rsidR="00666328" w:rsidRPr="00666328" w:rsidRDefault="00666328" w:rsidP="00666328">
            <w:pPr>
              <w:spacing w:after="0" w:line="240" w:lineRule="auto"/>
              <w:jc w:val="center"/>
              <w:rPr>
                <w:rFonts w:ascii="Arial" w:hAnsi="Arial" w:cs="Arial"/>
                <w:color w:val="000000"/>
                <w:sz w:val="20"/>
                <w:szCs w:val="20"/>
              </w:rPr>
            </w:pPr>
            <w:r w:rsidRPr="00666328">
              <w:rPr>
                <w:rFonts w:ascii="Arial" w:hAnsi="Arial" w:cs="Arial"/>
                <w:color w:val="000000"/>
                <w:sz w:val="20"/>
                <w:szCs w:val="20"/>
              </w:rPr>
              <w:t>1%</w:t>
            </w:r>
          </w:p>
        </w:tc>
      </w:tr>
      <w:tr w:rsidR="00666328" w:rsidRPr="00666328" w:rsidTr="00A00F2A">
        <w:trPr>
          <w:trHeight w:val="265"/>
          <w:jc w:val="center"/>
        </w:trPr>
        <w:tc>
          <w:tcPr>
            <w:tcW w:w="1773" w:type="dxa"/>
            <w:shd w:val="clear" w:color="auto" w:fill="auto"/>
            <w:vAlign w:val="center"/>
          </w:tcPr>
          <w:p w:rsidR="00666328" w:rsidRPr="00666328" w:rsidRDefault="00666328" w:rsidP="00666328">
            <w:pPr>
              <w:spacing w:after="0" w:line="240" w:lineRule="auto"/>
              <w:jc w:val="center"/>
              <w:rPr>
                <w:rFonts w:ascii="Arial" w:hAnsi="Arial" w:cs="Arial"/>
                <w:color w:val="000000"/>
                <w:sz w:val="20"/>
                <w:szCs w:val="20"/>
              </w:rPr>
            </w:pPr>
            <w:r w:rsidRPr="00666328">
              <w:rPr>
                <w:rFonts w:ascii="Arial" w:hAnsi="Arial" w:cs="Arial"/>
                <w:color w:val="000000"/>
                <w:sz w:val="20"/>
                <w:szCs w:val="20"/>
              </w:rPr>
              <w:t>9 - 12</w:t>
            </w:r>
          </w:p>
        </w:tc>
        <w:tc>
          <w:tcPr>
            <w:tcW w:w="1773" w:type="dxa"/>
            <w:shd w:val="clear" w:color="auto" w:fill="auto"/>
            <w:vAlign w:val="center"/>
          </w:tcPr>
          <w:p w:rsidR="00666328" w:rsidRPr="00666328" w:rsidRDefault="00666328" w:rsidP="00666328">
            <w:pPr>
              <w:spacing w:after="0" w:line="240" w:lineRule="auto"/>
              <w:jc w:val="center"/>
              <w:rPr>
                <w:rFonts w:ascii="Arial" w:hAnsi="Arial" w:cs="Arial"/>
                <w:color w:val="000000"/>
                <w:sz w:val="20"/>
                <w:szCs w:val="20"/>
              </w:rPr>
            </w:pPr>
            <w:r w:rsidRPr="00666328">
              <w:rPr>
                <w:rFonts w:ascii="Arial" w:hAnsi="Arial" w:cs="Arial"/>
                <w:color w:val="000000"/>
                <w:sz w:val="20"/>
                <w:szCs w:val="20"/>
              </w:rPr>
              <w:t>15</w:t>
            </w:r>
          </w:p>
        </w:tc>
        <w:tc>
          <w:tcPr>
            <w:tcW w:w="1773" w:type="dxa"/>
            <w:shd w:val="clear" w:color="auto" w:fill="auto"/>
            <w:vAlign w:val="center"/>
          </w:tcPr>
          <w:p w:rsidR="00666328" w:rsidRPr="00666328" w:rsidRDefault="00666328" w:rsidP="00666328">
            <w:pPr>
              <w:spacing w:after="0" w:line="240" w:lineRule="auto"/>
              <w:jc w:val="center"/>
              <w:rPr>
                <w:rFonts w:ascii="Arial" w:hAnsi="Arial" w:cs="Arial"/>
                <w:color w:val="000000"/>
                <w:sz w:val="20"/>
                <w:szCs w:val="20"/>
              </w:rPr>
            </w:pPr>
            <w:r w:rsidRPr="00666328">
              <w:rPr>
                <w:rFonts w:ascii="Arial" w:hAnsi="Arial" w:cs="Arial"/>
                <w:color w:val="000000"/>
                <w:sz w:val="20"/>
                <w:szCs w:val="20"/>
              </w:rPr>
              <w:t>210,0</w:t>
            </w:r>
          </w:p>
        </w:tc>
        <w:tc>
          <w:tcPr>
            <w:tcW w:w="1773" w:type="dxa"/>
            <w:vAlign w:val="bottom"/>
          </w:tcPr>
          <w:p w:rsidR="00666328" w:rsidRPr="00666328" w:rsidRDefault="00666328" w:rsidP="00666328">
            <w:pPr>
              <w:spacing w:after="0" w:line="240" w:lineRule="auto"/>
              <w:jc w:val="center"/>
              <w:rPr>
                <w:rFonts w:ascii="Arial" w:hAnsi="Arial" w:cs="Arial"/>
                <w:color w:val="000000"/>
                <w:sz w:val="20"/>
                <w:szCs w:val="20"/>
              </w:rPr>
            </w:pPr>
            <w:r w:rsidRPr="00666328">
              <w:rPr>
                <w:rFonts w:ascii="Arial" w:hAnsi="Arial" w:cs="Arial"/>
                <w:color w:val="000000"/>
                <w:sz w:val="20"/>
                <w:szCs w:val="20"/>
              </w:rPr>
              <w:t>0%</w:t>
            </w:r>
          </w:p>
        </w:tc>
      </w:tr>
      <w:tr w:rsidR="00666328" w:rsidRPr="00666328" w:rsidTr="00A00F2A">
        <w:trPr>
          <w:trHeight w:val="283"/>
          <w:jc w:val="center"/>
        </w:trPr>
        <w:tc>
          <w:tcPr>
            <w:tcW w:w="1773" w:type="dxa"/>
            <w:shd w:val="clear" w:color="auto" w:fill="auto"/>
            <w:vAlign w:val="center"/>
          </w:tcPr>
          <w:p w:rsidR="00666328" w:rsidRPr="00666328" w:rsidRDefault="00666328" w:rsidP="00666328">
            <w:pPr>
              <w:spacing w:after="0" w:line="240" w:lineRule="auto"/>
              <w:jc w:val="center"/>
              <w:rPr>
                <w:rFonts w:ascii="Arial" w:hAnsi="Arial" w:cs="Arial"/>
                <w:color w:val="000000"/>
                <w:sz w:val="20"/>
                <w:szCs w:val="20"/>
              </w:rPr>
            </w:pPr>
            <w:r w:rsidRPr="00666328">
              <w:rPr>
                <w:rFonts w:ascii="Arial" w:hAnsi="Arial" w:cs="Arial"/>
                <w:color w:val="000000"/>
                <w:sz w:val="20"/>
                <w:szCs w:val="20"/>
              </w:rPr>
              <w:t>10 - 12</w:t>
            </w:r>
          </w:p>
        </w:tc>
        <w:tc>
          <w:tcPr>
            <w:tcW w:w="1773" w:type="dxa"/>
            <w:shd w:val="clear" w:color="auto" w:fill="auto"/>
            <w:vAlign w:val="center"/>
          </w:tcPr>
          <w:p w:rsidR="00666328" w:rsidRPr="00666328" w:rsidRDefault="00666328" w:rsidP="00666328">
            <w:pPr>
              <w:spacing w:after="0" w:line="240" w:lineRule="auto"/>
              <w:jc w:val="center"/>
              <w:rPr>
                <w:rFonts w:ascii="Arial" w:hAnsi="Arial" w:cs="Arial"/>
                <w:color w:val="000000"/>
                <w:sz w:val="20"/>
                <w:szCs w:val="20"/>
              </w:rPr>
            </w:pPr>
            <w:r w:rsidRPr="00666328">
              <w:rPr>
                <w:rFonts w:ascii="Arial" w:hAnsi="Arial" w:cs="Arial"/>
                <w:color w:val="000000"/>
                <w:sz w:val="20"/>
                <w:szCs w:val="20"/>
              </w:rPr>
              <w:t>2715</w:t>
            </w:r>
          </w:p>
        </w:tc>
        <w:tc>
          <w:tcPr>
            <w:tcW w:w="1773" w:type="dxa"/>
            <w:shd w:val="clear" w:color="auto" w:fill="auto"/>
            <w:vAlign w:val="center"/>
          </w:tcPr>
          <w:p w:rsidR="00666328" w:rsidRPr="00666328" w:rsidRDefault="00666328" w:rsidP="00666328">
            <w:pPr>
              <w:spacing w:after="0" w:line="240" w:lineRule="auto"/>
              <w:jc w:val="center"/>
              <w:rPr>
                <w:rFonts w:ascii="Arial" w:hAnsi="Arial" w:cs="Arial"/>
                <w:color w:val="000000"/>
                <w:sz w:val="20"/>
                <w:szCs w:val="20"/>
              </w:rPr>
            </w:pPr>
            <w:r w:rsidRPr="00666328">
              <w:rPr>
                <w:rFonts w:ascii="Arial" w:hAnsi="Arial" w:cs="Arial"/>
                <w:color w:val="000000"/>
                <w:sz w:val="20"/>
                <w:szCs w:val="20"/>
              </w:rPr>
              <w:t>31.969,0</w:t>
            </w:r>
          </w:p>
        </w:tc>
        <w:tc>
          <w:tcPr>
            <w:tcW w:w="1773" w:type="dxa"/>
            <w:vAlign w:val="bottom"/>
          </w:tcPr>
          <w:p w:rsidR="00666328" w:rsidRPr="00666328" w:rsidRDefault="00666328" w:rsidP="00666328">
            <w:pPr>
              <w:spacing w:after="0" w:line="240" w:lineRule="auto"/>
              <w:jc w:val="center"/>
              <w:rPr>
                <w:rFonts w:ascii="Arial" w:hAnsi="Arial" w:cs="Arial"/>
                <w:color w:val="000000"/>
                <w:sz w:val="20"/>
                <w:szCs w:val="20"/>
              </w:rPr>
            </w:pPr>
            <w:r w:rsidRPr="00666328">
              <w:rPr>
                <w:rFonts w:ascii="Arial" w:hAnsi="Arial" w:cs="Arial"/>
                <w:color w:val="000000"/>
                <w:sz w:val="20"/>
                <w:szCs w:val="20"/>
              </w:rPr>
              <w:t>63%</w:t>
            </w:r>
          </w:p>
        </w:tc>
      </w:tr>
      <w:tr w:rsidR="00666328" w:rsidRPr="00666328" w:rsidTr="00A00F2A">
        <w:trPr>
          <w:trHeight w:val="283"/>
          <w:jc w:val="center"/>
        </w:trPr>
        <w:tc>
          <w:tcPr>
            <w:tcW w:w="1773" w:type="dxa"/>
            <w:shd w:val="clear" w:color="auto" w:fill="auto"/>
            <w:vAlign w:val="center"/>
          </w:tcPr>
          <w:p w:rsidR="00666328" w:rsidRPr="00666328" w:rsidRDefault="00666328" w:rsidP="00666328">
            <w:pPr>
              <w:spacing w:after="0" w:line="240" w:lineRule="auto"/>
              <w:jc w:val="center"/>
              <w:rPr>
                <w:rFonts w:ascii="Arial" w:hAnsi="Arial" w:cs="Arial"/>
                <w:b/>
                <w:bCs/>
                <w:color w:val="000000"/>
                <w:sz w:val="20"/>
                <w:szCs w:val="20"/>
              </w:rPr>
            </w:pPr>
            <w:r w:rsidRPr="00666328">
              <w:rPr>
                <w:rFonts w:ascii="Arial" w:hAnsi="Arial" w:cs="Arial"/>
                <w:b/>
                <w:bCs/>
                <w:color w:val="000000"/>
                <w:sz w:val="20"/>
                <w:szCs w:val="20"/>
              </w:rPr>
              <w:t>Total</w:t>
            </w:r>
          </w:p>
        </w:tc>
        <w:tc>
          <w:tcPr>
            <w:tcW w:w="1773" w:type="dxa"/>
            <w:shd w:val="clear" w:color="auto" w:fill="auto"/>
            <w:vAlign w:val="center"/>
          </w:tcPr>
          <w:p w:rsidR="00666328" w:rsidRPr="00666328" w:rsidRDefault="00666328" w:rsidP="00666328">
            <w:pPr>
              <w:spacing w:after="0" w:line="240" w:lineRule="auto"/>
              <w:jc w:val="center"/>
              <w:rPr>
                <w:rFonts w:ascii="Arial" w:hAnsi="Arial" w:cs="Arial"/>
                <w:b/>
                <w:bCs/>
                <w:color w:val="000000"/>
                <w:sz w:val="20"/>
                <w:szCs w:val="20"/>
              </w:rPr>
            </w:pPr>
            <w:r w:rsidRPr="00666328">
              <w:rPr>
                <w:rFonts w:ascii="Arial" w:hAnsi="Arial" w:cs="Arial"/>
                <w:b/>
                <w:bCs/>
                <w:color w:val="000000"/>
                <w:sz w:val="20"/>
                <w:szCs w:val="20"/>
              </w:rPr>
              <w:t>4.208</w:t>
            </w:r>
          </w:p>
        </w:tc>
        <w:tc>
          <w:tcPr>
            <w:tcW w:w="1773" w:type="dxa"/>
            <w:shd w:val="clear" w:color="auto" w:fill="auto"/>
            <w:vAlign w:val="center"/>
          </w:tcPr>
          <w:p w:rsidR="00666328" w:rsidRPr="00666328" w:rsidRDefault="00666328" w:rsidP="00666328">
            <w:pPr>
              <w:spacing w:after="0" w:line="240" w:lineRule="auto"/>
              <w:jc w:val="center"/>
              <w:rPr>
                <w:rFonts w:ascii="Arial" w:hAnsi="Arial" w:cs="Arial"/>
                <w:b/>
                <w:bCs/>
                <w:color w:val="000000"/>
                <w:sz w:val="20"/>
                <w:szCs w:val="20"/>
              </w:rPr>
            </w:pPr>
            <w:r w:rsidRPr="00666328">
              <w:rPr>
                <w:rFonts w:ascii="Arial" w:hAnsi="Arial" w:cs="Arial"/>
                <w:b/>
                <w:bCs/>
                <w:color w:val="000000"/>
                <w:sz w:val="20"/>
                <w:szCs w:val="20"/>
              </w:rPr>
              <w:t>50.447,5</w:t>
            </w:r>
          </w:p>
        </w:tc>
        <w:tc>
          <w:tcPr>
            <w:tcW w:w="1773" w:type="dxa"/>
            <w:vAlign w:val="bottom"/>
          </w:tcPr>
          <w:p w:rsidR="00666328" w:rsidRPr="00666328" w:rsidRDefault="00666328" w:rsidP="00666328">
            <w:pPr>
              <w:spacing w:after="0" w:line="240" w:lineRule="auto"/>
              <w:jc w:val="center"/>
              <w:rPr>
                <w:rFonts w:ascii="Arial" w:hAnsi="Arial" w:cs="Arial"/>
                <w:b/>
                <w:color w:val="000000"/>
                <w:sz w:val="20"/>
                <w:szCs w:val="20"/>
              </w:rPr>
            </w:pPr>
            <w:r w:rsidRPr="00666328">
              <w:rPr>
                <w:rFonts w:ascii="Arial" w:hAnsi="Arial" w:cs="Arial"/>
                <w:b/>
                <w:color w:val="000000"/>
                <w:sz w:val="20"/>
                <w:szCs w:val="20"/>
              </w:rPr>
              <w:t>100%</w:t>
            </w:r>
          </w:p>
        </w:tc>
      </w:tr>
    </w:tbl>
    <w:p w:rsidR="00666328" w:rsidRPr="00666328" w:rsidRDefault="00666328" w:rsidP="00666328">
      <w:pPr>
        <w:pStyle w:val="Textoindependiente"/>
        <w:spacing w:after="0" w:line="240" w:lineRule="auto"/>
        <w:rPr>
          <w:rFonts w:ascii="Arial" w:hAnsi="Arial" w:cs="Arial"/>
          <w:bCs/>
          <w:sz w:val="20"/>
          <w:szCs w:val="20"/>
          <w:lang w:eastAsia="es-CR"/>
        </w:rPr>
      </w:pPr>
      <w:r w:rsidRPr="00666328">
        <w:rPr>
          <w:rFonts w:ascii="Arial" w:hAnsi="Arial" w:cs="Arial"/>
          <w:bCs/>
          <w:sz w:val="20"/>
          <w:szCs w:val="20"/>
          <w:lang w:eastAsia="es-CR"/>
        </w:rPr>
        <w:t xml:space="preserve">                Fuente: Informe de rendimiento de cuentas del área. (2017)</w:t>
      </w:r>
    </w:p>
    <w:p w:rsidR="00666328" w:rsidRPr="00666328" w:rsidRDefault="00666328" w:rsidP="00666328">
      <w:pPr>
        <w:pStyle w:val="Prrafodelista"/>
        <w:spacing w:after="0" w:line="240" w:lineRule="auto"/>
        <w:rPr>
          <w:rFonts w:ascii="Arial" w:hAnsi="Arial" w:cs="Arial"/>
          <w:bCs/>
          <w:sz w:val="20"/>
          <w:szCs w:val="20"/>
          <w:lang w:eastAsia="es-CR"/>
        </w:rPr>
      </w:pPr>
    </w:p>
    <w:p w:rsidR="00666328" w:rsidRPr="00666328" w:rsidRDefault="00666328" w:rsidP="00666328">
      <w:pPr>
        <w:numPr>
          <w:ilvl w:val="0"/>
          <w:numId w:val="26"/>
        </w:numPr>
        <w:spacing w:after="0" w:line="240" w:lineRule="auto"/>
        <w:jc w:val="both"/>
        <w:rPr>
          <w:rFonts w:ascii="Arial" w:hAnsi="Arial" w:cs="Arial"/>
          <w:bCs/>
          <w:sz w:val="20"/>
          <w:szCs w:val="20"/>
          <w:lang w:eastAsia="es-CR"/>
        </w:rPr>
      </w:pPr>
      <w:r w:rsidRPr="00666328">
        <w:rPr>
          <w:rFonts w:ascii="Arial" w:hAnsi="Arial" w:cs="Arial"/>
          <w:bCs/>
          <w:sz w:val="20"/>
          <w:szCs w:val="20"/>
          <w:lang w:eastAsia="es-CR"/>
        </w:rPr>
        <w:t xml:space="preserve">En el Sistema de Ahorro y Préstamo (SAP) se aprobaron 529 créditos o soluciones de vivienda, para un monto total de ¢17.278,6 millones, lo que representa el 74% del presupuesto total por ¢23.243,3 millones. </w:t>
      </w:r>
    </w:p>
    <w:p w:rsidR="00666328" w:rsidRPr="00666328" w:rsidRDefault="00666328" w:rsidP="00666328">
      <w:pPr>
        <w:spacing w:after="0" w:line="240" w:lineRule="auto"/>
        <w:ind w:left="708"/>
        <w:jc w:val="both"/>
        <w:rPr>
          <w:rFonts w:ascii="Arial" w:hAnsi="Arial" w:cs="Arial"/>
          <w:bCs/>
          <w:sz w:val="20"/>
          <w:szCs w:val="20"/>
          <w:lang w:eastAsia="es-CR"/>
        </w:rPr>
      </w:pPr>
    </w:p>
    <w:p w:rsidR="00666328" w:rsidRPr="00666328" w:rsidRDefault="00666328" w:rsidP="00666328">
      <w:pPr>
        <w:spacing w:after="0" w:line="240" w:lineRule="auto"/>
        <w:ind w:left="708"/>
        <w:jc w:val="both"/>
        <w:rPr>
          <w:rFonts w:ascii="Arial" w:hAnsi="Arial" w:cs="Arial"/>
          <w:bCs/>
          <w:sz w:val="20"/>
          <w:szCs w:val="20"/>
          <w:lang w:eastAsia="es-CR"/>
        </w:rPr>
      </w:pPr>
      <w:r w:rsidRPr="00666328">
        <w:rPr>
          <w:rFonts w:ascii="Arial" w:hAnsi="Arial" w:cs="Arial"/>
          <w:bCs/>
          <w:sz w:val="20"/>
          <w:szCs w:val="20"/>
          <w:lang w:eastAsia="es-CR"/>
        </w:rPr>
        <w:t>El tiempo promedio de trámite y aprobación de los créditos del SAP, fue de 29 días hábiles, mostrando una disminución de 13 días, en relación a diciembre 2016, que estaba en 42 días hábiles.</w:t>
      </w:r>
    </w:p>
    <w:p w:rsidR="00666328" w:rsidRPr="00666328" w:rsidRDefault="00666328" w:rsidP="00666328">
      <w:pPr>
        <w:spacing w:after="0" w:line="240" w:lineRule="auto"/>
        <w:ind w:left="708"/>
        <w:jc w:val="both"/>
        <w:rPr>
          <w:rFonts w:ascii="Arial" w:hAnsi="Arial" w:cs="Arial"/>
          <w:bCs/>
          <w:sz w:val="20"/>
          <w:szCs w:val="20"/>
          <w:lang w:eastAsia="es-CR"/>
        </w:rPr>
      </w:pPr>
    </w:p>
    <w:p w:rsidR="00666328" w:rsidRPr="00666328" w:rsidRDefault="00666328" w:rsidP="00666328">
      <w:pPr>
        <w:numPr>
          <w:ilvl w:val="0"/>
          <w:numId w:val="26"/>
        </w:numPr>
        <w:spacing w:after="0" w:line="240" w:lineRule="auto"/>
        <w:jc w:val="both"/>
        <w:rPr>
          <w:rFonts w:ascii="Arial" w:hAnsi="Arial" w:cs="Arial"/>
          <w:sz w:val="20"/>
          <w:szCs w:val="20"/>
          <w:lang w:eastAsia="es-CR"/>
        </w:rPr>
      </w:pPr>
      <w:r w:rsidRPr="00666328">
        <w:rPr>
          <w:rFonts w:ascii="Arial" w:hAnsi="Arial" w:cs="Arial"/>
          <w:bCs/>
          <w:sz w:val="20"/>
          <w:szCs w:val="20"/>
          <w:lang w:eastAsia="es-CR"/>
        </w:rPr>
        <w:t>La propuesta de mejora del Sistema de Ahorro y Préstamo (SAP)</w:t>
      </w:r>
      <w:r w:rsidRPr="00666328">
        <w:rPr>
          <w:rFonts w:ascii="Arial" w:hAnsi="Arial" w:cs="Arial"/>
          <w:sz w:val="20"/>
          <w:szCs w:val="20"/>
          <w:lang w:eastAsia="es-CR"/>
        </w:rPr>
        <w:t xml:space="preserve"> que considera la actualización de las condiciones se pusieron en práctica a partir de agosto 2017. Estas condiciones consideran la tasa de interés y el plazo, que serán fijos durante todo el período del préstamo, a partir de un 7% de interés.      </w:t>
      </w:r>
    </w:p>
    <w:p w:rsidR="00666328" w:rsidRPr="00666328" w:rsidRDefault="00666328" w:rsidP="00666328">
      <w:pPr>
        <w:spacing w:after="0" w:line="240" w:lineRule="auto"/>
        <w:ind w:left="719"/>
        <w:jc w:val="both"/>
        <w:rPr>
          <w:rFonts w:ascii="Arial" w:hAnsi="Arial" w:cs="Arial"/>
          <w:sz w:val="20"/>
          <w:szCs w:val="20"/>
          <w:lang w:eastAsia="es-CR"/>
        </w:rPr>
      </w:pPr>
    </w:p>
    <w:p w:rsidR="00666328" w:rsidRPr="00666328" w:rsidRDefault="00666328" w:rsidP="00666328">
      <w:pPr>
        <w:spacing w:after="0" w:line="240" w:lineRule="auto"/>
        <w:ind w:left="719"/>
        <w:jc w:val="both"/>
        <w:rPr>
          <w:rFonts w:ascii="Arial" w:hAnsi="Arial" w:cs="Arial"/>
          <w:sz w:val="20"/>
          <w:szCs w:val="20"/>
          <w:lang w:eastAsia="es-CR"/>
        </w:rPr>
      </w:pPr>
      <w:r w:rsidRPr="00666328">
        <w:rPr>
          <w:rFonts w:ascii="Arial" w:hAnsi="Arial" w:cs="Arial"/>
          <w:sz w:val="20"/>
          <w:szCs w:val="20"/>
          <w:lang w:eastAsia="es-CR"/>
        </w:rPr>
        <w:t xml:space="preserve">Cabe señalar, que las ventas de contratos para el último cuatrimestre del año 2017 se incrementaron en ¢7.312 (60%) en relación al último cuatrimestre del año 2016, es decir, pasaron de ¢12.101,0 millones a ¢19.413,0 millones. </w:t>
      </w:r>
    </w:p>
    <w:p w:rsidR="00666328" w:rsidRPr="00666328" w:rsidRDefault="00666328" w:rsidP="00666328">
      <w:pPr>
        <w:spacing w:after="0" w:line="240" w:lineRule="auto"/>
        <w:ind w:left="708"/>
        <w:jc w:val="both"/>
        <w:rPr>
          <w:rFonts w:ascii="Arial" w:hAnsi="Arial" w:cs="Arial"/>
          <w:bCs/>
          <w:color w:val="FF0000"/>
          <w:sz w:val="20"/>
          <w:szCs w:val="20"/>
          <w:lang w:eastAsia="es-CR"/>
        </w:rPr>
      </w:pPr>
    </w:p>
    <w:p w:rsidR="00666328" w:rsidRPr="00666328" w:rsidRDefault="00666328" w:rsidP="00666328">
      <w:pPr>
        <w:numPr>
          <w:ilvl w:val="0"/>
          <w:numId w:val="26"/>
        </w:numPr>
        <w:spacing w:after="0" w:line="240" w:lineRule="auto"/>
        <w:jc w:val="both"/>
        <w:rPr>
          <w:rFonts w:ascii="Arial" w:hAnsi="Arial" w:cs="Arial"/>
          <w:bCs/>
          <w:sz w:val="20"/>
          <w:szCs w:val="20"/>
          <w:lang w:eastAsia="es-CR"/>
        </w:rPr>
      </w:pPr>
      <w:r w:rsidRPr="00666328">
        <w:rPr>
          <w:rFonts w:ascii="Arial" w:hAnsi="Arial" w:cs="Arial"/>
          <w:bCs/>
          <w:sz w:val="20"/>
          <w:szCs w:val="20"/>
          <w:lang w:eastAsia="es-CR"/>
        </w:rPr>
        <w:t>En clase media se aprobaron 42 créditos para soluciones de vivienda, por un monto total de ¢1.576,3 millones, lo que representa el 69% del presupuesto total, por ¢2.300,0 millones.</w:t>
      </w:r>
    </w:p>
    <w:p w:rsidR="00666328" w:rsidRPr="00666328" w:rsidRDefault="00666328" w:rsidP="00666328">
      <w:pPr>
        <w:spacing w:after="0" w:line="240" w:lineRule="auto"/>
        <w:ind w:left="719"/>
        <w:jc w:val="both"/>
        <w:rPr>
          <w:rFonts w:ascii="Arial" w:hAnsi="Arial" w:cs="Arial"/>
          <w:bCs/>
          <w:sz w:val="20"/>
          <w:szCs w:val="20"/>
          <w:lang w:eastAsia="es-CR"/>
        </w:rPr>
      </w:pPr>
    </w:p>
    <w:p w:rsidR="00666328" w:rsidRDefault="00666328" w:rsidP="00666328">
      <w:pPr>
        <w:numPr>
          <w:ilvl w:val="0"/>
          <w:numId w:val="26"/>
        </w:numPr>
        <w:spacing w:after="0" w:line="240" w:lineRule="auto"/>
        <w:jc w:val="both"/>
        <w:rPr>
          <w:rFonts w:ascii="Arial" w:hAnsi="Arial" w:cs="Arial"/>
          <w:bCs/>
          <w:sz w:val="20"/>
          <w:szCs w:val="20"/>
          <w:lang w:eastAsia="es-CR"/>
        </w:rPr>
      </w:pPr>
      <w:r w:rsidRPr="00666328">
        <w:rPr>
          <w:rFonts w:ascii="Arial" w:hAnsi="Arial" w:cs="Arial"/>
          <w:bCs/>
          <w:sz w:val="20"/>
          <w:szCs w:val="20"/>
          <w:lang w:eastAsia="es-CR"/>
        </w:rPr>
        <w:t>En bonos familiares de vivienda (familiar, individual) se colocaron ¢638,5 millones, que representa el 11% del presupuesto total, por ¢5.813,1 millones. Esta labor fue interrumpida por más de un año y medio, producto de la restricción impuesta por el BANHVI, para el trámite de expedientes, la cual fue levantada a finales de setiembre 2016. Lo que incidió en el ejercicio económico 2017. Además, la colocación se ve afectada por el tiempo que requiere el BANHVI, para la revisión y aprobación de los casos, actividades requeridas en forma previa, para continuar con la formalización y desembolso de los recursos.</w:t>
      </w:r>
    </w:p>
    <w:p w:rsidR="00666328" w:rsidRDefault="00666328" w:rsidP="00666328">
      <w:pPr>
        <w:spacing w:after="0" w:line="240" w:lineRule="auto"/>
        <w:ind w:left="719"/>
        <w:jc w:val="both"/>
        <w:rPr>
          <w:rFonts w:ascii="Arial" w:hAnsi="Arial" w:cs="Arial"/>
          <w:bCs/>
          <w:sz w:val="20"/>
          <w:szCs w:val="20"/>
          <w:lang w:eastAsia="es-CR"/>
        </w:rPr>
      </w:pPr>
    </w:p>
    <w:p w:rsidR="00666328" w:rsidRDefault="00666328" w:rsidP="00666328">
      <w:pPr>
        <w:numPr>
          <w:ilvl w:val="0"/>
          <w:numId w:val="26"/>
        </w:numPr>
        <w:spacing w:after="0" w:line="240" w:lineRule="auto"/>
        <w:jc w:val="both"/>
        <w:rPr>
          <w:rFonts w:ascii="Arial" w:hAnsi="Arial" w:cs="Arial"/>
          <w:bCs/>
          <w:sz w:val="20"/>
          <w:szCs w:val="20"/>
          <w:lang w:eastAsia="es-CR"/>
        </w:rPr>
      </w:pPr>
      <w:r w:rsidRPr="00666328">
        <w:rPr>
          <w:rFonts w:ascii="Arial" w:hAnsi="Arial" w:cs="Arial"/>
          <w:bCs/>
          <w:sz w:val="20"/>
          <w:szCs w:val="20"/>
          <w:lang w:eastAsia="es-CR"/>
        </w:rPr>
        <w:t>La ejecución de algunos indicadores se ve afectada porque dependen de la demanda y la meta está sujeta a la voluntad de los usuarios o clientes.</w:t>
      </w:r>
    </w:p>
    <w:p w:rsidR="00666328" w:rsidRPr="00666328" w:rsidRDefault="00666328" w:rsidP="00666328">
      <w:pPr>
        <w:spacing w:after="0" w:line="240" w:lineRule="auto"/>
        <w:ind w:left="719"/>
        <w:jc w:val="both"/>
        <w:rPr>
          <w:rFonts w:ascii="Arial" w:hAnsi="Arial" w:cs="Arial"/>
          <w:bCs/>
          <w:sz w:val="20"/>
          <w:szCs w:val="20"/>
          <w:lang w:eastAsia="es-CR"/>
        </w:rPr>
      </w:pPr>
    </w:p>
    <w:p w:rsidR="00666328" w:rsidRPr="00666328" w:rsidRDefault="00666328" w:rsidP="00666328">
      <w:pPr>
        <w:numPr>
          <w:ilvl w:val="0"/>
          <w:numId w:val="26"/>
        </w:numPr>
        <w:spacing w:after="0" w:line="240" w:lineRule="auto"/>
        <w:jc w:val="both"/>
        <w:rPr>
          <w:rFonts w:ascii="Arial" w:hAnsi="Arial" w:cs="Arial"/>
          <w:bCs/>
          <w:sz w:val="20"/>
          <w:szCs w:val="20"/>
          <w:lang w:eastAsia="es-CR"/>
        </w:rPr>
      </w:pPr>
      <w:r w:rsidRPr="00666328">
        <w:rPr>
          <w:rFonts w:ascii="Arial" w:hAnsi="Arial" w:cs="Arial"/>
          <w:bCs/>
          <w:sz w:val="20"/>
          <w:szCs w:val="20"/>
          <w:lang w:eastAsia="es-CR"/>
        </w:rPr>
        <w:t xml:space="preserve">Del análisis efectuado para cada uno de los indicadores y su meta se obtuvo el siguiente resumen: </w:t>
      </w:r>
    </w:p>
    <w:tbl>
      <w:tblPr>
        <w:tblW w:w="8946" w:type="dxa"/>
        <w:tblInd w:w="55" w:type="dxa"/>
        <w:tblCellMar>
          <w:left w:w="70" w:type="dxa"/>
          <w:right w:w="70" w:type="dxa"/>
        </w:tblCellMar>
        <w:tblLook w:val="04A0" w:firstRow="1" w:lastRow="0" w:firstColumn="1" w:lastColumn="0" w:noHBand="0" w:noVBand="1"/>
      </w:tblPr>
      <w:tblGrid>
        <w:gridCol w:w="8946"/>
      </w:tblGrid>
      <w:tr w:rsidR="00666328" w:rsidRPr="00666328" w:rsidTr="00A00F2A">
        <w:trPr>
          <w:trHeight w:val="315"/>
        </w:trPr>
        <w:tc>
          <w:tcPr>
            <w:tcW w:w="8946" w:type="dxa"/>
            <w:tcBorders>
              <w:top w:val="nil"/>
              <w:left w:val="nil"/>
              <w:bottom w:val="nil"/>
              <w:right w:val="nil"/>
            </w:tcBorders>
            <w:shd w:val="clear" w:color="auto" w:fill="auto"/>
            <w:vAlign w:val="bottom"/>
            <w:hideMark/>
          </w:tcPr>
          <w:p w:rsidR="00666328" w:rsidRPr="00666328" w:rsidRDefault="00666328" w:rsidP="00666328">
            <w:pPr>
              <w:spacing w:after="0" w:line="240" w:lineRule="auto"/>
              <w:jc w:val="center"/>
              <w:rPr>
                <w:rFonts w:ascii="Arial" w:hAnsi="Arial" w:cs="Arial"/>
                <w:b/>
                <w:bCs/>
                <w:sz w:val="20"/>
                <w:szCs w:val="20"/>
                <w:lang w:eastAsia="es-CR"/>
              </w:rPr>
            </w:pPr>
            <w:r w:rsidRPr="00666328">
              <w:rPr>
                <w:rFonts w:ascii="Arial" w:hAnsi="Arial" w:cs="Arial"/>
                <w:b/>
                <w:bCs/>
                <w:sz w:val="20"/>
                <w:szCs w:val="20"/>
                <w:lang w:eastAsia="es-CR"/>
              </w:rPr>
              <w:t>Comportamiento de las Metas del INVU</w:t>
            </w:r>
            <w:r w:rsidRPr="00666328">
              <w:rPr>
                <w:rFonts w:ascii="Arial" w:hAnsi="Arial" w:cs="Arial"/>
                <w:b/>
                <w:bCs/>
                <w:sz w:val="20"/>
                <w:szCs w:val="20"/>
                <w:lang w:eastAsia="es-CR"/>
              </w:rPr>
              <w:br/>
              <w:t>Enero - diciembre 2017</w:t>
            </w:r>
          </w:p>
          <w:tbl>
            <w:tblPr>
              <w:tblW w:w="7365" w:type="dxa"/>
              <w:jc w:val="center"/>
              <w:tblCellMar>
                <w:left w:w="70" w:type="dxa"/>
                <w:right w:w="70" w:type="dxa"/>
              </w:tblCellMar>
              <w:tblLook w:val="04A0" w:firstRow="1" w:lastRow="0" w:firstColumn="1" w:lastColumn="0" w:noHBand="0" w:noVBand="1"/>
            </w:tblPr>
            <w:tblGrid>
              <w:gridCol w:w="1400"/>
              <w:gridCol w:w="1419"/>
              <w:gridCol w:w="1200"/>
              <w:gridCol w:w="1386"/>
              <w:gridCol w:w="1960"/>
            </w:tblGrid>
            <w:tr w:rsidR="00666328" w:rsidRPr="00666328" w:rsidTr="00A00F2A">
              <w:trPr>
                <w:trHeight w:val="300"/>
                <w:jc w:val="center"/>
              </w:trPr>
              <w:tc>
                <w:tcPr>
                  <w:tcW w:w="140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666328" w:rsidRPr="00666328" w:rsidRDefault="00666328" w:rsidP="00666328">
                  <w:pPr>
                    <w:spacing w:after="0" w:line="240" w:lineRule="auto"/>
                    <w:jc w:val="center"/>
                    <w:rPr>
                      <w:rFonts w:ascii="Arial" w:hAnsi="Arial" w:cs="Arial"/>
                      <w:b/>
                      <w:bCs/>
                      <w:sz w:val="20"/>
                      <w:szCs w:val="20"/>
                      <w:lang w:eastAsia="es-CR"/>
                    </w:rPr>
                  </w:pPr>
                  <w:r w:rsidRPr="00666328">
                    <w:rPr>
                      <w:rFonts w:ascii="Arial" w:hAnsi="Arial" w:cs="Arial"/>
                      <w:b/>
                      <w:bCs/>
                      <w:sz w:val="20"/>
                      <w:szCs w:val="20"/>
                      <w:lang w:eastAsia="es-CR"/>
                    </w:rPr>
                    <w:t xml:space="preserve">Programas </w:t>
                  </w:r>
                </w:p>
              </w:tc>
              <w:tc>
                <w:tcPr>
                  <w:tcW w:w="5965" w:type="dxa"/>
                  <w:gridSpan w:val="4"/>
                  <w:tcBorders>
                    <w:top w:val="single" w:sz="8" w:space="0" w:color="auto"/>
                    <w:left w:val="nil"/>
                    <w:bottom w:val="single" w:sz="4" w:space="0" w:color="auto"/>
                    <w:right w:val="single" w:sz="8" w:space="0" w:color="000000"/>
                  </w:tcBorders>
                  <w:shd w:val="clear" w:color="auto" w:fill="auto"/>
                  <w:vAlign w:val="bottom"/>
                  <w:hideMark/>
                </w:tcPr>
                <w:p w:rsidR="00666328" w:rsidRPr="00666328" w:rsidRDefault="00666328" w:rsidP="00666328">
                  <w:pPr>
                    <w:spacing w:after="0" w:line="240" w:lineRule="auto"/>
                    <w:jc w:val="center"/>
                    <w:rPr>
                      <w:rFonts w:ascii="Arial" w:hAnsi="Arial" w:cs="Arial"/>
                      <w:b/>
                      <w:bCs/>
                      <w:sz w:val="20"/>
                      <w:szCs w:val="20"/>
                      <w:lang w:eastAsia="es-CR"/>
                    </w:rPr>
                  </w:pPr>
                  <w:r w:rsidRPr="00666328">
                    <w:rPr>
                      <w:rFonts w:ascii="Arial" w:hAnsi="Arial" w:cs="Arial"/>
                      <w:b/>
                      <w:bCs/>
                      <w:sz w:val="20"/>
                      <w:szCs w:val="20"/>
                      <w:lang w:eastAsia="es-CR"/>
                    </w:rPr>
                    <w:t>Metas</w:t>
                  </w:r>
                </w:p>
              </w:tc>
            </w:tr>
            <w:tr w:rsidR="00666328" w:rsidRPr="00666328" w:rsidTr="00A00F2A">
              <w:trPr>
                <w:trHeight w:val="315"/>
                <w:jc w:val="center"/>
              </w:trPr>
              <w:tc>
                <w:tcPr>
                  <w:tcW w:w="1400" w:type="dxa"/>
                  <w:vMerge/>
                  <w:tcBorders>
                    <w:top w:val="single" w:sz="8" w:space="0" w:color="auto"/>
                    <w:left w:val="single" w:sz="8" w:space="0" w:color="auto"/>
                    <w:bottom w:val="single" w:sz="8" w:space="0" w:color="000000"/>
                    <w:right w:val="single" w:sz="4" w:space="0" w:color="auto"/>
                  </w:tcBorders>
                  <w:vAlign w:val="center"/>
                  <w:hideMark/>
                </w:tcPr>
                <w:p w:rsidR="00666328" w:rsidRPr="00666328" w:rsidRDefault="00666328" w:rsidP="00666328">
                  <w:pPr>
                    <w:spacing w:after="0" w:line="240" w:lineRule="auto"/>
                    <w:rPr>
                      <w:rFonts w:ascii="Arial" w:hAnsi="Arial" w:cs="Arial"/>
                      <w:b/>
                      <w:bCs/>
                      <w:sz w:val="20"/>
                      <w:szCs w:val="20"/>
                      <w:lang w:eastAsia="es-CR"/>
                    </w:rPr>
                  </w:pPr>
                </w:p>
              </w:tc>
              <w:tc>
                <w:tcPr>
                  <w:tcW w:w="1419" w:type="dxa"/>
                  <w:tcBorders>
                    <w:top w:val="nil"/>
                    <w:left w:val="nil"/>
                    <w:bottom w:val="single" w:sz="8" w:space="0" w:color="auto"/>
                    <w:right w:val="single" w:sz="4" w:space="0" w:color="auto"/>
                  </w:tcBorders>
                  <w:shd w:val="clear" w:color="auto" w:fill="auto"/>
                  <w:vAlign w:val="center"/>
                  <w:hideMark/>
                </w:tcPr>
                <w:p w:rsidR="00666328" w:rsidRPr="00666328" w:rsidRDefault="00666328" w:rsidP="00666328">
                  <w:pPr>
                    <w:spacing w:after="0" w:line="240" w:lineRule="auto"/>
                    <w:jc w:val="center"/>
                    <w:rPr>
                      <w:rFonts w:ascii="Arial" w:hAnsi="Arial" w:cs="Arial"/>
                      <w:b/>
                      <w:bCs/>
                      <w:sz w:val="20"/>
                      <w:szCs w:val="20"/>
                    </w:rPr>
                  </w:pPr>
                  <w:r w:rsidRPr="00666328">
                    <w:rPr>
                      <w:rFonts w:ascii="Arial" w:hAnsi="Arial" w:cs="Arial"/>
                      <w:b/>
                      <w:bCs/>
                      <w:sz w:val="20"/>
                      <w:szCs w:val="20"/>
                    </w:rPr>
                    <w:t>Programadas</w:t>
                  </w:r>
                </w:p>
              </w:tc>
              <w:tc>
                <w:tcPr>
                  <w:tcW w:w="1200" w:type="dxa"/>
                  <w:tcBorders>
                    <w:top w:val="nil"/>
                    <w:left w:val="nil"/>
                    <w:bottom w:val="single" w:sz="8" w:space="0" w:color="auto"/>
                    <w:right w:val="single" w:sz="4" w:space="0" w:color="auto"/>
                  </w:tcBorders>
                  <w:shd w:val="clear" w:color="auto" w:fill="auto"/>
                  <w:vAlign w:val="center"/>
                  <w:hideMark/>
                </w:tcPr>
                <w:p w:rsidR="00666328" w:rsidRPr="00666328" w:rsidRDefault="00666328" w:rsidP="00666328">
                  <w:pPr>
                    <w:spacing w:after="0" w:line="240" w:lineRule="auto"/>
                    <w:jc w:val="center"/>
                    <w:rPr>
                      <w:rFonts w:ascii="Arial" w:hAnsi="Arial" w:cs="Arial"/>
                      <w:b/>
                      <w:bCs/>
                      <w:sz w:val="20"/>
                      <w:szCs w:val="20"/>
                    </w:rPr>
                  </w:pPr>
                  <w:r w:rsidRPr="00666328">
                    <w:rPr>
                      <w:rFonts w:ascii="Arial" w:hAnsi="Arial" w:cs="Arial"/>
                      <w:b/>
                      <w:bCs/>
                      <w:sz w:val="20"/>
                      <w:szCs w:val="20"/>
                    </w:rPr>
                    <w:t>Cumplidas</w:t>
                  </w:r>
                </w:p>
              </w:tc>
              <w:tc>
                <w:tcPr>
                  <w:tcW w:w="1386" w:type="dxa"/>
                  <w:tcBorders>
                    <w:top w:val="nil"/>
                    <w:left w:val="nil"/>
                    <w:bottom w:val="single" w:sz="8" w:space="0" w:color="auto"/>
                    <w:right w:val="single" w:sz="4" w:space="0" w:color="auto"/>
                  </w:tcBorders>
                  <w:shd w:val="clear" w:color="auto" w:fill="auto"/>
                  <w:vAlign w:val="center"/>
                  <w:hideMark/>
                </w:tcPr>
                <w:p w:rsidR="00666328" w:rsidRPr="00666328" w:rsidRDefault="00666328" w:rsidP="00666328">
                  <w:pPr>
                    <w:spacing w:after="0" w:line="240" w:lineRule="auto"/>
                    <w:jc w:val="center"/>
                    <w:rPr>
                      <w:rFonts w:ascii="Arial" w:hAnsi="Arial" w:cs="Arial"/>
                      <w:b/>
                      <w:bCs/>
                      <w:sz w:val="20"/>
                      <w:szCs w:val="20"/>
                    </w:rPr>
                  </w:pPr>
                  <w:r w:rsidRPr="00666328">
                    <w:rPr>
                      <w:rFonts w:ascii="Arial" w:hAnsi="Arial" w:cs="Arial"/>
                      <w:b/>
                      <w:bCs/>
                      <w:sz w:val="20"/>
                      <w:szCs w:val="20"/>
                    </w:rPr>
                    <w:t>Parcialmente</w:t>
                  </w:r>
                  <w:r w:rsidRPr="00666328">
                    <w:rPr>
                      <w:rFonts w:ascii="Arial" w:hAnsi="Arial" w:cs="Arial"/>
                      <w:b/>
                      <w:bCs/>
                      <w:sz w:val="20"/>
                      <w:szCs w:val="20"/>
                    </w:rPr>
                    <w:br/>
                    <w:t xml:space="preserve"> Cumplidas</w:t>
                  </w:r>
                </w:p>
              </w:tc>
              <w:tc>
                <w:tcPr>
                  <w:tcW w:w="1960" w:type="dxa"/>
                  <w:tcBorders>
                    <w:top w:val="nil"/>
                    <w:left w:val="nil"/>
                    <w:bottom w:val="single" w:sz="8" w:space="0" w:color="auto"/>
                    <w:right w:val="single" w:sz="8" w:space="0" w:color="auto"/>
                  </w:tcBorders>
                  <w:shd w:val="clear" w:color="auto" w:fill="auto"/>
                  <w:vAlign w:val="center"/>
                  <w:hideMark/>
                </w:tcPr>
                <w:p w:rsidR="00666328" w:rsidRPr="00666328" w:rsidRDefault="00666328" w:rsidP="00666328">
                  <w:pPr>
                    <w:spacing w:after="0" w:line="240" w:lineRule="auto"/>
                    <w:jc w:val="center"/>
                    <w:rPr>
                      <w:rFonts w:ascii="Arial" w:hAnsi="Arial" w:cs="Arial"/>
                      <w:b/>
                      <w:bCs/>
                      <w:sz w:val="20"/>
                      <w:szCs w:val="20"/>
                    </w:rPr>
                  </w:pPr>
                  <w:r w:rsidRPr="00666328">
                    <w:rPr>
                      <w:rFonts w:ascii="Arial" w:hAnsi="Arial" w:cs="Arial"/>
                      <w:b/>
                      <w:bCs/>
                      <w:sz w:val="20"/>
                      <w:szCs w:val="20"/>
                    </w:rPr>
                    <w:t>Incumplidas</w:t>
                  </w:r>
                </w:p>
              </w:tc>
            </w:tr>
            <w:tr w:rsidR="00666328" w:rsidRPr="00666328" w:rsidTr="00A00F2A">
              <w:trPr>
                <w:trHeight w:val="300"/>
                <w:jc w:val="center"/>
              </w:trPr>
              <w:tc>
                <w:tcPr>
                  <w:tcW w:w="1400" w:type="dxa"/>
                  <w:tcBorders>
                    <w:top w:val="nil"/>
                    <w:left w:val="single" w:sz="8" w:space="0" w:color="auto"/>
                    <w:bottom w:val="single" w:sz="4" w:space="0" w:color="auto"/>
                    <w:right w:val="single" w:sz="4" w:space="0" w:color="auto"/>
                  </w:tcBorders>
                  <w:shd w:val="clear" w:color="auto" w:fill="auto"/>
                  <w:vAlign w:val="bottom"/>
                  <w:hideMark/>
                </w:tcPr>
                <w:p w:rsidR="00666328" w:rsidRPr="00666328" w:rsidRDefault="00666328" w:rsidP="00666328">
                  <w:pPr>
                    <w:spacing w:after="0" w:line="240" w:lineRule="auto"/>
                    <w:jc w:val="center"/>
                    <w:rPr>
                      <w:rFonts w:ascii="Arial" w:hAnsi="Arial" w:cs="Arial"/>
                      <w:b/>
                      <w:bCs/>
                      <w:sz w:val="20"/>
                      <w:szCs w:val="20"/>
                      <w:lang w:eastAsia="es-CR"/>
                    </w:rPr>
                  </w:pPr>
                  <w:r w:rsidRPr="00666328">
                    <w:rPr>
                      <w:rFonts w:ascii="Arial" w:hAnsi="Arial" w:cs="Arial"/>
                      <w:b/>
                      <w:bCs/>
                      <w:sz w:val="20"/>
                      <w:szCs w:val="20"/>
                      <w:lang w:eastAsia="es-CR"/>
                    </w:rPr>
                    <w:t>Programa I</w:t>
                  </w:r>
                </w:p>
              </w:tc>
              <w:tc>
                <w:tcPr>
                  <w:tcW w:w="1419" w:type="dxa"/>
                  <w:tcBorders>
                    <w:top w:val="nil"/>
                    <w:left w:val="nil"/>
                    <w:bottom w:val="single" w:sz="4" w:space="0" w:color="auto"/>
                    <w:right w:val="single" w:sz="4" w:space="0" w:color="auto"/>
                  </w:tcBorders>
                  <w:shd w:val="clear" w:color="auto" w:fill="auto"/>
                  <w:vAlign w:val="center"/>
                </w:tcPr>
                <w:p w:rsidR="00666328" w:rsidRPr="00666328" w:rsidRDefault="00666328" w:rsidP="00666328">
                  <w:pPr>
                    <w:spacing w:after="0" w:line="240" w:lineRule="auto"/>
                    <w:jc w:val="center"/>
                    <w:rPr>
                      <w:rFonts w:ascii="Arial" w:hAnsi="Arial" w:cs="Arial"/>
                      <w:sz w:val="20"/>
                      <w:szCs w:val="20"/>
                    </w:rPr>
                  </w:pPr>
                  <w:r w:rsidRPr="00666328">
                    <w:rPr>
                      <w:rFonts w:ascii="Arial" w:hAnsi="Arial" w:cs="Arial"/>
                      <w:sz w:val="20"/>
                      <w:szCs w:val="20"/>
                    </w:rPr>
                    <w:t>9</w:t>
                  </w:r>
                </w:p>
              </w:tc>
              <w:tc>
                <w:tcPr>
                  <w:tcW w:w="1200" w:type="dxa"/>
                  <w:tcBorders>
                    <w:top w:val="nil"/>
                    <w:left w:val="nil"/>
                    <w:bottom w:val="single" w:sz="4" w:space="0" w:color="auto"/>
                    <w:right w:val="single" w:sz="4" w:space="0" w:color="auto"/>
                  </w:tcBorders>
                  <w:shd w:val="clear" w:color="auto" w:fill="auto"/>
                  <w:vAlign w:val="center"/>
                </w:tcPr>
                <w:p w:rsidR="00666328" w:rsidRPr="00666328" w:rsidRDefault="00666328" w:rsidP="00666328">
                  <w:pPr>
                    <w:spacing w:after="0" w:line="240" w:lineRule="auto"/>
                    <w:jc w:val="center"/>
                    <w:rPr>
                      <w:rFonts w:ascii="Arial" w:hAnsi="Arial" w:cs="Arial"/>
                      <w:sz w:val="20"/>
                      <w:szCs w:val="20"/>
                    </w:rPr>
                  </w:pPr>
                  <w:r w:rsidRPr="00666328">
                    <w:rPr>
                      <w:rFonts w:ascii="Arial" w:hAnsi="Arial" w:cs="Arial"/>
                      <w:sz w:val="20"/>
                      <w:szCs w:val="20"/>
                    </w:rPr>
                    <w:t>5</w:t>
                  </w:r>
                </w:p>
              </w:tc>
              <w:tc>
                <w:tcPr>
                  <w:tcW w:w="1386" w:type="dxa"/>
                  <w:tcBorders>
                    <w:top w:val="nil"/>
                    <w:left w:val="nil"/>
                    <w:bottom w:val="single" w:sz="4" w:space="0" w:color="auto"/>
                    <w:right w:val="single" w:sz="4" w:space="0" w:color="auto"/>
                  </w:tcBorders>
                  <w:shd w:val="clear" w:color="auto" w:fill="auto"/>
                  <w:vAlign w:val="center"/>
                </w:tcPr>
                <w:p w:rsidR="00666328" w:rsidRPr="00666328" w:rsidRDefault="00666328" w:rsidP="00666328">
                  <w:pPr>
                    <w:spacing w:after="0" w:line="240" w:lineRule="auto"/>
                    <w:jc w:val="center"/>
                    <w:rPr>
                      <w:rFonts w:ascii="Arial" w:hAnsi="Arial" w:cs="Arial"/>
                      <w:sz w:val="20"/>
                      <w:szCs w:val="20"/>
                    </w:rPr>
                  </w:pPr>
                  <w:r w:rsidRPr="00666328">
                    <w:rPr>
                      <w:rFonts w:ascii="Arial" w:hAnsi="Arial" w:cs="Arial"/>
                      <w:sz w:val="20"/>
                      <w:szCs w:val="20"/>
                    </w:rPr>
                    <w:t>1</w:t>
                  </w:r>
                </w:p>
              </w:tc>
              <w:tc>
                <w:tcPr>
                  <w:tcW w:w="1960" w:type="dxa"/>
                  <w:tcBorders>
                    <w:top w:val="nil"/>
                    <w:left w:val="nil"/>
                    <w:bottom w:val="single" w:sz="4" w:space="0" w:color="auto"/>
                    <w:right w:val="single" w:sz="8" w:space="0" w:color="auto"/>
                  </w:tcBorders>
                  <w:shd w:val="clear" w:color="auto" w:fill="auto"/>
                  <w:vAlign w:val="center"/>
                </w:tcPr>
                <w:p w:rsidR="00666328" w:rsidRPr="00666328" w:rsidRDefault="00666328" w:rsidP="00666328">
                  <w:pPr>
                    <w:spacing w:after="0" w:line="240" w:lineRule="auto"/>
                    <w:jc w:val="center"/>
                    <w:rPr>
                      <w:rFonts w:ascii="Arial" w:hAnsi="Arial" w:cs="Arial"/>
                      <w:sz w:val="20"/>
                      <w:szCs w:val="20"/>
                    </w:rPr>
                  </w:pPr>
                  <w:r w:rsidRPr="00666328">
                    <w:rPr>
                      <w:rFonts w:ascii="Arial" w:hAnsi="Arial" w:cs="Arial"/>
                      <w:sz w:val="20"/>
                      <w:szCs w:val="20"/>
                    </w:rPr>
                    <w:t>3</w:t>
                  </w:r>
                </w:p>
              </w:tc>
            </w:tr>
            <w:tr w:rsidR="00666328" w:rsidRPr="00666328" w:rsidTr="00A00F2A">
              <w:trPr>
                <w:trHeight w:val="300"/>
                <w:jc w:val="center"/>
              </w:trPr>
              <w:tc>
                <w:tcPr>
                  <w:tcW w:w="1400" w:type="dxa"/>
                  <w:tcBorders>
                    <w:top w:val="nil"/>
                    <w:left w:val="single" w:sz="8" w:space="0" w:color="auto"/>
                    <w:bottom w:val="single" w:sz="4" w:space="0" w:color="auto"/>
                    <w:right w:val="single" w:sz="4" w:space="0" w:color="auto"/>
                  </w:tcBorders>
                  <w:shd w:val="clear" w:color="auto" w:fill="auto"/>
                  <w:vAlign w:val="bottom"/>
                  <w:hideMark/>
                </w:tcPr>
                <w:p w:rsidR="00666328" w:rsidRPr="00666328" w:rsidRDefault="00666328" w:rsidP="00666328">
                  <w:pPr>
                    <w:spacing w:after="0" w:line="240" w:lineRule="auto"/>
                    <w:jc w:val="center"/>
                    <w:rPr>
                      <w:rFonts w:ascii="Arial" w:hAnsi="Arial" w:cs="Arial"/>
                      <w:b/>
                      <w:bCs/>
                      <w:sz w:val="20"/>
                      <w:szCs w:val="20"/>
                      <w:lang w:eastAsia="es-CR"/>
                    </w:rPr>
                  </w:pPr>
                  <w:r w:rsidRPr="00666328">
                    <w:rPr>
                      <w:rFonts w:ascii="Arial" w:hAnsi="Arial" w:cs="Arial"/>
                      <w:b/>
                      <w:bCs/>
                      <w:sz w:val="20"/>
                      <w:szCs w:val="20"/>
                      <w:lang w:eastAsia="es-CR"/>
                    </w:rPr>
                    <w:t>Programa II</w:t>
                  </w:r>
                </w:p>
              </w:tc>
              <w:tc>
                <w:tcPr>
                  <w:tcW w:w="1419" w:type="dxa"/>
                  <w:tcBorders>
                    <w:top w:val="nil"/>
                    <w:left w:val="nil"/>
                    <w:bottom w:val="single" w:sz="4" w:space="0" w:color="auto"/>
                    <w:right w:val="single" w:sz="4" w:space="0" w:color="auto"/>
                  </w:tcBorders>
                  <w:shd w:val="clear" w:color="auto" w:fill="auto"/>
                  <w:vAlign w:val="center"/>
                </w:tcPr>
                <w:p w:rsidR="00666328" w:rsidRPr="00666328" w:rsidRDefault="00666328" w:rsidP="00666328">
                  <w:pPr>
                    <w:spacing w:after="0" w:line="240" w:lineRule="auto"/>
                    <w:jc w:val="center"/>
                    <w:rPr>
                      <w:rFonts w:ascii="Arial" w:hAnsi="Arial" w:cs="Arial"/>
                      <w:sz w:val="20"/>
                      <w:szCs w:val="20"/>
                    </w:rPr>
                  </w:pPr>
                  <w:r w:rsidRPr="00666328">
                    <w:rPr>
                      <w:rFonts w:ascii="Arial" w:hAnsi="Arial" w:cs="Arial"/>
                      <w:sz w:val="20"/>
                      <w:szCs w:val="20"/>
                    </w:rPr>
                    <w:t>9</w:t>
                  </w:r>
                </w:p>
              </w:tc>
              <w:tc>
                <w:tcPr>
                  <w:tcW w:w="1200" w:type="dxa"/>
                  <w:tcBorders>
                    <w:top w:val="nil"/>
                    <w:left w:val="nil"/>
                    <w:bottom w:val="single" w:sz="4" w:space="0" w:color="auto"/>
                    <w:right w:val="single" w:sz="4" w:space="0" w:color="auto"/>
                  </w:tcBorders>
                  <w:shd w:val="clear" w:color="auto" w:fill="auto"/>
                  <w:vAlign w:val="center"/>
                </w:tcPr>
                <w:p w:rsidR="00666328" w:rsidRPr="00666328" w:rsidRDefault="00666328" w:rsidP="00666328">
                  <w:pPr>
                    <w:spacing w:after="0" w:line="240" w:lineRule="auto"/>
                    <w:jc w:val="center"/>
                    <w:rPr>
                      <w:rFonts w:ascii="Arial" w:hAnsi="Arial" w:cs="Arial"/>
                      <w:sz w:val="20"/>
                      <w:szCs w:val="20"/>
                    </w:rPr>
                  </w:pPr>
                  <w:r w:rsidRPr="00666328">
                    <w:rPr>
                      <w:rFonts w:ascii="Arial" w:hAnsi="Arial" w:cs="Arial"/>
                      <w:sz w:val="20"/>
                      <w:szCs w:val="20"/>
                    </w:rPr>
                    <w:t>6</w:t>
                  </w:r>
                </w:p>
              </w:tc>
              <w:tc>
                <w:tcPr>
                  <w:tcW w:w="1386" w:type="dxa"/>
                  <w:tcBorders>
                    <w:top w:val="nil"/>
                    <w:left w:val="nil"/>
                    <w:bottom w:val="single" w:sz="4" w:space="0" w:color="auto"/>
                    <w:right w:val="single" w:sz="4" w:space="0" w:color="auto"/>
                  </w:tcBorders>
                  <w:shd w:val="clear" w:color="auto" w:fill="auto"/>
                  <w:vAlign w:val="center"/>
                </w:tcPr>
                <w:p w:rsidR="00666328" w:rsidRPr="00666328" w:rsidRDefault="00666328" w:rsidP="00666328">
                  <w:pPr>
                    <w:spacing w:after="0" w:line="240" w:lineRule="auto"/>
                    <w:jc w:val="center"/>
                    <w:rPr>
                      <w:rFonts w:ascii="Arial" w:hAnsi="Arial" w:cs="Arial"/>
                      <w:sz w:val="20"/>
                      <w:szCs w:val="20"/>
                    </w:rPr>
                  </w:pPr>
                  <w:r w:rsidRPr="00666328">
                    <w:rPr>
                      <w:rFonts w:ascii="Arial" w:hAnsi="Arial" w:cs="Arial"/>
                      <w:sz w:val="20"/>
                      <w:szCs w:val="20"/>
                    </w:rPr>
                    <w:t>3</w:t>
                  </w:r>
                </w:p>
              </w:tc>
              <w:tc>
                <w:tcPr>
                  <w:tcW w:w="1960" w:type="dxa"/>
                  <w:tcBorders>
                    <w:top w:val="nil"/>
                    <w:left w:val="nil"/>
                    <w:bottom w:val="single" w:sz="4" w:space="0" w:color="auto"/>
                    <w:right w:val="single" w:sz="8" w:space="0" w:color="auto"/>
                  </w:tcBorders>
                  <w:shd w:val="clear" w:color="auto" w:fill="auto"/>
                  <w:vAlign w:val="center"/>
                </w:tcPr>
                <w:p w:rsidR="00666328" w:rsidRPr="00666328" w:rsidRDefault="00666328" w:rsidP="00666328">
                  <w:pPr>
                    <w:spacing w:after="0" w:line="240" w:lineRule="auto"/>
                    <w:jc w:val="center"/>
                    <w:rPr>
                      <w:rFonts w:ascii="Arial" w:hAnsi="Arial" w:cs="Arial"/>
                      <w:sz w:val="20"/>
                      <w:szCs w:val="20"/>
                    </w:rPr>
                  </w:pPr>
                  <w:r w:rsidRPr="00666328">
                    <w:rPr>
                      <w:rFonts w:ascii="Arial" w:hAnsi="Arial" w:cs="Arial"/>
                      <w:sz w:val="20"/>
                      <w:szCs w:val="20"/>
                    </w:rPr>
                    <w:t> </w:t>
                  </w:r>
                </w:p>
              </w:tc>
            </w:tr>
            <w:tr w:rsidR="00666328" w:rsidRPr="00666328" w:rsidTr="00A00F2A">
              <w:trPr>
                <w:trHeight w:val="300"/>
                <w:jc w:val="center"/>
              </w:trPr>
              <w:tc>
                <w:tcPr>
                  <w:tcW w:w="1400" w:type="dxa"/>
                  <w:tcBorders>
                    <w:top w:val="nil"/>
                    <w:left w:val="single" w:sz="8" w:space="0" w:color="auto"/>
                    <w:bottom w:val="single" w:sz="4" w:space="0" w:color="auto"/>
                    <w:right w:val="single" w:sz="4" w:space="0" w:color="auto"/>
                  </w:tcBorders>
                  <w:shd w:val="clear" w:color="auto" w:fill="auto"/>
                  <w:vAlign w:val="bottom"/>
                  <w:hideMark/>
                </w:tcPr>
                <w:p w:rsidR="00666328" w:rsidRPr="00666328" w:rsidRDefault="00666328" w:rsidP="00666328">
                  <w:pPr>
                    <w:spacing w:after="0" w:line="240" w:lineRule="auto"/>
                    <w:jc w:val="center"/>
                    <w:rPr>
                      <w:rFonts w:ascii="Arial" w:hAnsi="Arial" w:cs="Arial"/>
                      <w:b/>
                      <w:bCs/>
                      <w:sz w:val="20"/>
                      <w:szCs w:val="20"/>
                      <w:lang w:eastAsia="es-CR"/>
                    </w:rPr>
                  </w:pPr>
                  <w:r w:rsidRPr="00666328">
                    <w:rPr>
                      <w:rFonts w:ascii="Arial" w:hAnsi="Arial" w:cs="Arial"/>
                      <w:b/>
                      <w:bCs/>
                      <w:sz w:val="20"/>
                      <w:szCs w:val="20"/>
                      <w:lang w:eastAsia="es-CR"/>
                    </w:rPr>
                    <w:t>Programa III</w:t>
                  </w:r>
                </w:p>
              </w:tc>
              <w:tc>
                <w:tcPr>
                  <w:tcW w:w="1419" w:type="dxa"/>
                  <w:tcBorders>
                    <w:top w:val="nil"/>
                    <w:left w:val="nil"/>
                    <w:bottom w:val="single" w:sz="4" w:space="0" w:color="auto"/>
                    <w:right w:val="single" w:sz="4" w:space="0" w:color="auto"/>
                  </w:tcBorders>
                  <w:shd w:val="clear" w:color="auto" w:fill="auto"/>
                  <w:vAlign w:val="center"/>
                </w:tcPr>
                <w:p w:rsidR="00666328" w:rsidRPr="00666328" w:rsidRDefault="00666328" w:rsidP="00666328">
                  <w:pPr>
                    <w:spacing w:after="0" w:line="240" w:lineRule="auto"/>
                    <w:jc w:val="center"/>
                    <w:rPr>
                      <w:rFonts w:ascii="Arial" w:hAnsi="Arial" w:cs="Arial"/>
                      <w:sz w:val="20"/>
                      <w:szCs w:val="20"/>
                    </w:rPr>
                  </w:pPr>
                  <w:r w:rsidRPr="00666328">
                    <w:rPr>
                      <w:rFonts w:ascii="Arial" w:hAnsi="Arial" w:cs="Arial"/>
                      <w:sz w:val="20"/>
                      <w:szCs w:val="20"/>
                    </w:rPr>
                    <w:t>25</w:t>
                  </w:r>
                </w:p>
              </w:tc>
              <w:tc>
                <w:tcPr>
                  <w:tcW w:w="1200" w:type="dxa"/>
                  <w:tcBorders>
                    <w:top w:val="nil"/>
                    <w:left w:val="nil"/>
                    <w:bottom w:val="single" w:sz="4" w:space="0" w:color="auto"/>
                    <w:right w:val="single" w:sz="4" w:space="0" w:color="auto"/>
                  </w:tcBorders>
                  <w:shd w:val="clear" w:color="auto" w:fill="auto"/>
                  <w:vAlign w:val="center"/>
                </w:tcPr>
                <w:p w:rsidR="00666328" w:rsidRPr="00666328" w:rsidRDefault="00666328" w:rsidP="00666328">
                  <w:pPr>
                    <w:spacing w:after="0" w:line="240" w:lineRule="auto"/>
                    <w:jc w:val="center"/>
                    <w:rPr>
                      <w:rFonts w:ascii="Arial" w:hAnsi="Arial" w:cs="Arial"/>
                      <w:sz w:val="20"/>
                      <w:szCs w:val="20"/>
                    </w:rPr>
                  </w:pPr>
                  <w:r w:rsidRPr="00666328">
                    <w:rPr>
                      <w:rFonts w:ascii="Arial" w:hAnsi="Arial" w:cs="Arial"/>
                      <w:sz w:val="20"/>
                      <w:szCs w:val="20"/>
                    </w:rPr>
                    <w:t>4</w:t>
                  </w:r>
                </w:p>
              </w:tc>
              <w:tc>
                <w:tcPr>
                  <w:tcW w:w="1386" w:type="dxa"/>
                  <w:tcBorders>
                    <w:top w:val="nil"/>
                    <w:left w:val="nil"/>
                    <w:bottom w:val="single" w:sz="4" w:space="0" w:color="auto"/>
                    <w:right w:val="single" w:sz="4" w:space="0" w:color="auto"/>
                  </w:tcBorders>
                  <w:shd w:val="clear" w:color="auto" w:fill="auto"/>
                  <w:vAlign w:val="center"/>
                </w:tcPr>
                <w:p w:rsidR="00666328" w:rsidRPr="00666328" w:rsidRDefault="00666328" w:rsidP="00666328">
                  <w:pPr>
                    <w:spacing w:after="0" w:line="240" w:lineRule="auto"/>
                    <w:jc w:val="center"/>
                    <w:rPr>
                      <w:rFonts w:ascii="Arial" w:hAnsi="Arial" w:cs="Arial"/>
                      <w:sz w:val="20"/>
                      <w:szCs w:val="20"/>
                    </w:rPr>
                  </w:pPr>
                  <w:r w:rsidRPr="00666328">
                    <w:rPr>
                      <w:rFonts w:ascii="Arial" w:hAnsi="Arial" w:cs="Arial"/>
                      <w:sz w:val="20"/>
                      <w:szCs w:val="20"/>
                    </w:rPr>
                    <w:t>7</w:t>
                  </w:r>
                </w:p>
              </w:tc>
              <w:tc>
                <w:tcPr>
                  <w:tcW w:w="1960" w:type="dxa"/>
                  <w:tcBorders>
                    <w:top w:val="nil"/>
                    <w:left w:val="nil"/>
                    <w:bottom w:val="single" w:sz="4" w:space="0" w:color="auto"/>
                    <w:right w:val="single" w:sz="8" w:space="0" w:color="auto"/>
                  </w:tcBorders>
                  <w:shd w:val="clear" w:color="auto" w:fill="auto"/>
                  <w:vAlign w:val="center"/>
                </w:tcPr>
                <w:p w:rsidR="00666328" w:rsidRPr="00666328" w:rsidRDefault="00666328" w:rsidP="00666328">
                  <w:pPr>
                    <w:spacing w:after="0" w:line="240" w:lineRule="auto"/>
                    <w:jc w:val="center"/>
                    <w:rPr>
                      <w:rFonts w:ascii="Arial" w:hAnsi="Arial" w:cs="Arial"/>
                      <w:sz w:val="20"/>
                      <w:szCs w:val="20"/>
                    </w:rPr>
                  </w:pPr>
                  <w:r w:rsidRPr="00666328">
                    <w:rPr>
                      <w:rFonts w:ascii="Arial" w:hAnsi="Arial" w:cs="Arial"/>
                      <w:sz w:val="20"/>
                      <w:szCs w:val="20"/>
                    </w:rPr>
                    <w:t>14</w:t>
                  </w:r>
                </w:p>
              </w:tc>
            </w:tr>
            <w:tr w:rsidR="00666328" w:rsidRPr="00666328" w:rsidTr="00A00F2A">
              <w:trPr>
                <w:trHeight w:val="315"/>
                <w:jc w:val="center"/>
              </w:trPr>
              <w:tc>
                <w:tcPr>
                  <w:tcW w:w="1400" w:type="dxa"/>
                  <w:tcBorders>
                    <w:top w:val="nil"/>
                    <w:left w:val="single" w:sz="8" w:space="0" w:color="auto"/>
                    <w:bottom w:val="nil"/>
                    <w:right w:val="single" w:sz="4" w:space="0" w:color="auto"/>
                  </w:tcBorders>
                  <w:shd w:val="clear" w:color="auto" w:fill="auto"/>
                  <w:vAlign w:val="bottom"/>
                  <w:hideMark/>
                </w:tcPr>
                <w:p w:rsidR="00666328" w:rsidRPr="00666328" w:rsidRDefault="00666328" w:rsidP="00666328">
                  <w:pPr>
                    <w:spacing w:after="0" w:line="240" w:lineRule="auto"/>
                    <w:jc w:val="center"/>
                    <w:rPr>
                      <w:rFonts w:ascii="Arial" w:hAnsi="Arial" w:cs="Arial"/>
                      <w:b/>
                      <w:bCs/>
                      <w:sz w:val="20"/>
                      <w:szCs w:val="20"/>
                      <w:lang w:eastAsia="es-CR"/>
                    </w:rPr>
                  </w:pPr>
                  <w:r w:rsidRPr="00666328">
                    <w:rPr>
                      <w:rFonts w:ascii="Arial" w:hAnsi="Arial" w:cs="Arial"/>
                      <w:b/>
                      <w:bCs/>
                      <w:sz w:val="20"/>
                      <w:szCs w:val="20"/>
                      <w:lang w:eastAsia="es-CR"/>
                    </w:rPr>
                    <w:t>Programa IV</w:t>
                  </w:r>
                </w:p>
              </w:tc>
              <w:tc>
                <w:tcPr>
                  <w:tcW w:w="1419" w:type="dxa"/>
                  <w:tcBorders>
                    <w:top w:val="nil"/>
                    <w:left w:val="nil"/>
                    <w:bottom w:val="nil"/>
                    <w:right w:val="single" w:sz="4" w:space="0" w:color="auto"/>
                  </w:tcBorders>
                  <w:shd w:val="clear" w:color="auto" w:fill="auto"/>
                  <w:noWrap/>
                  <w:vAlign w:val="center"/>
                </w:tcPr>
                <w:p w:rsidR="00666328" w:rsidRPr="00666328" w:rsidRDefault="00666328" w:rsidP="00666328">
                  <w:pPr>
                    <w:spacing w:after="0" w:line="240" w:lineRule="auto"/>
                    <w:jc w:val="center"/>
                    <w:rPr>
                      <w:rFonts w:ascii="Arial" w:hAnsi="Arial" w:cs="Arial"/>
                      <w:sz w:val="20"/>
                      <w:szCs w:val="20"/>
                    </w:rPr>
                  </w:pPr>
                  <w:r w:rsidRPr="00666328">
                    <w:rPr>
                      <w:rFonts w:ascii="Arial" w:hAnsi="Arial" w:cs="Arial"/>
                      <w:sz w:val="20"/>
                      <w:szCs w:val="20"/>
                    </w:rPr>
                    <w:t>8</w:t>
                  </w:r>
                </w:p>
              </w:tc>
              <w:tc>
                <w:tcPr>
                  <w:tcW w:w="1200" w:type="dxa"/>
                  <w:tcBorders>
                    <w:top w:val="nil"/>
                    <w:left w:val="nil"/>
                    <w:bottom w:val="nil"/>
                    <w:right w:val="single" w:sz="4" w:space="0" w:color="auto"/>
                  </w:tcBorders>
                  <w:shd w:val="clear" w:color="auto" w:fill="auto"/>
                  <w:noWrap/>
                  <w:vAlign w:val="bottom"/>
                </w:tcPr>
                <w:p w:rsidR="00666328" w:rsidRPr="00666328" w:rsidRDefault="00666328" w:rsidP="00666328">
                  <w:pPr>
                    <w:spacing w:after="0" w:line="240" w:lineRule="auto"/>
                    <w:jc w:val="center"/>
                    <w:rPr>
                      <w:rFonts w:ascii="Arial" w:hAnsi="Arial" w:cs="Arial"/>
                      <w:sz w:val="20"/>
                      <w:szCs w:val="20"/>
                    </w:rPr>
                  </w:pPr>
                  <w:r w:rsidRPr="00666328">
                    <w:rPr>
                      <w:rFonts w:ascii="Arial" w:hAnsi="Arial" w:cs="Arial"/>
                      <w:sz w:val="20"/>
                      <w:szCs w:val="20"/>
                    </w:rPr>
                    <w:t>3</w:t>
                  </w:r>
                </w:p>
              </w:tc>
              <w:tc>
                <w:tcPr>
                  <w:tcW w:w="1386" w:type="dxa"/>
                  <w:tcBorders>
                    <w:top w:val="nil"/>
                    <w:left w:val="nil"/>
                    <w:bottom w:val="nil"/>
                    <w:right w:val="single" w:sz="4" w:space="0" w:color="auto"/>
                  </w:tcBorders>
                  <w:shd w:val="clear" w:color="auto" w:fill="auto"/>
                  <w:noWrap/>
                  <w:vAlign w:val="bottom"/>
                </w:tcPr>
                <w:p w:rsidR="00666328" w:rsidRPr="00666328" w:rsidRDefault="00666328" w:rsidP="00666328">
                  <w:pPr>
                    <w:spacing w:after="0" w:line="240" w:lineRule="auto"/>
                    <w:jc w:val="center"/>
                    <w:rPr>
                      <w:rFonts w:ascii="Arial" w:hAnsi="Arial" w:cs="Arial"/>
                      <w:sz w:val="20"/>
                      <w:szCs w:val="20"/>
                    </w:rPr>
                  </w:pPr>
                  <w:r w:rsidRPr="00666328">
                    <w:rPr>
                      <w:rFonts w:ascii="Arial" w:hAnsi="Arial" w:cs="Arial"/>
                      <w:sz w:val="20"/>
                      <w:szCs w:val="20"/>
                    </w:rPr>
                    <w:t>4</w:t>
                  </w:r>
                </w:p>
              </w:tc>
              <w:tc>
                <w:tcPr>
                  <w:tcW w:w="1960" w:type="dxa"/>
                  <w:tcBorders>
                    <w:top w:val="nil"/>
                    <w:left w:val="nil"/>
                    <w:bottom w:val="nil"/>
                    <w:right w:val="single" w:sz="8" w:space="0" w:color="auto"/>
                  </w:tcBorders>
                  <w:shd w:val="clear" w:color="auto" w:fill="auto"/>
                  <w:noWrap/>
                  <w:vAlign w:val="bottom"/>
                </w:tcPr>
                <w:p w:rsidR="00666328" w:rsidRPr="00666328" w:rsidRDefault="00666328" w:rsidP="00666328">
                  <w:pPr>
                    <w:spacing w:after="0" w:line="240" w:lineRule="auto"/>
                    <w:jc w:val="center"/>
                    <w:rPr>
                      <w:rFonts w:ascii="Arial" w:hAnsi="Arial" w:cs="Arial"/>
                      <w:sz w:val="20"/>
                      <w:szCs w:val="20"/>
                    </w:rPr>
                  </w:pPr>
                  <w:r w:rsidRPr="00666328">
                    <w:rPr>
                      <w:rFonts w:ascii="Arial" w:hAnsi="Arial" w:cs="Arial"/>
                      <w:sz w:val="20"/>
                      <w:szCs w:val="20"/>
                    </w:rPr>
                    <w:t>1</w:t>
                  </w:r>
                </w:p>
              </w:tc>
            </w:tr>
            <w:tr w:rsidR="00666328" w:rsidRPr="00666328" w:rsidTr="00A00F2A">
              <w:trPr>
                <w:trHeight w:val="300"/>
                <w:jc w:val="center"/>
              </w:trPr>
              <w:tc>
                <w:tcPr>
                  <w:tcW w:w="1400"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666328" w:rsidRPr="00666328" w:rsidRDefault="00666328" w:rsidP="00666328">
                  <w:pPr>
                    <w:spacing w:after="0" w:line="240" w:lineRule="auto"/>
                    <w:jc w:val="center"/>
                    <w:rPr>
                      <w:rFonts w:ascii="Arial" w:hAnsi="Arial" w:cs="Arial"/>
                      <w:b/>
                      <w:bCs/>
                      <w:sz w:val="20"/>
                      <w:szCs w:val="20"/>
                      <w:lang w:eastAsia="es-CR"/>
                    </w:rPr>
                  </w:pPr>
                  <w:r w:rsidRPr="00666328">
                    <w:rPr>
                      <w:rFonts w:ascii="Arial" w:hAnsi="Arial" w:cs="Arial"/>
                      <w:b/>
                      <w:bCs/>
                      <w:sz w:val="20"/>
                      <w:szCs w:val="20"/>
                      <w:lang w:eastAsia="es-CR"/>
                    </w:rPr>
                    <w:t xml:space="preserve">Total </w:t>
                  </w:r>
                </w:p>
              </w:tc>
              <w:tc>
                <w:tcPr>
                  <w:tcW w:w="1419" w:type="dxa"/>
                  <w:tcBorders>
                    <w:top w:val="single" w:sz="8" w:space="0" w:color="auto"/>
                    <w:left w:val="nil"/>
                    <w:bottom w:val="single" w:sz="4" w:space="0" w:color="auto"/>
                    <w:right w:val="single" w:sz="4" w:space="0" w:color="auto"/>
                  </w:tcBorders>
                  <w:shd w:val="clear" w:color="auto" w:fill="auto"/>
                  <w:noWrap/>
                  <w:vAlign w:val="bottom"/>
                </w:tcPr>
                <w:p w:rsidR="00666328" w:rsidRPr="00666328" w:rsidRDefault="00666328" w:rsidP="00666328">
                  <w:pPr>
                    <w:spacing w:after="0" w:line="240" w:lineRule="auto"/>
                    <w:jc w:val="center"/>
                    <w:rPr>
                      <w:rFonts w:ascii="Arial" w:hAnsi="Arial" w:cs="Arial"/>
                      <w:b/>
                      <w:bCs/>
                      <w:sz w:val="20"/>
                      <w:szCs w:val="20"/>
                    </w:rPr>
                  </w:pPr>
                  <w:r w:rsidRPr="00666328">
                    <w:rPr>
                      <w:rFonts w:ascii="Arial" w:hAnsi="Arial" w:cs="Arial"/>
                      <w:b/>
                      <w:bCs/>
                      <w:sz w:val="20"/>
                      <w:szCs w:val="20"/>
                    </w:rPr>
                    <w:t>51</w:t>
                  </w:r>
                </w:p>
              </w:tc>
              <w:tc>
                <w:tcPr>
                  <w:tcW w:w="1200" w:type="dxa"/>
                  <w:tcBorders>
                    <w:top w:val="single" w:sz="8" w:space="0" w:color="auto"/>
                    <w:left w:val="nil"/>
                    <w:bottom w:val="single" w:sz="4" w:space="0" w:color="auto"/>
                    <w:right w:val="single" w:sz="4" w:space="0" w:color="auto"/>
                  </w:tcBorders>
                  <w:shd w:val="clear" w:color="auto" w:fill="auto"/>
                  <w:noWrap/>
                  <w:vAlign w:val="bottom"/>
                </w:tcPr>
                <w:p w:rsidR="00666328" w:rsidRPr="00666328" w:rsidRDefault="00666328" w:rsidP="00666328">
                  <w:pPr>
                    <w:spacing w:after="0" w:line="240" w:lineRule="auto"/>
                    <w:jc w:val="center"/>
                    <w:rPr>
                      <w:rFonts w:ascii="Arial" w:hAnsi="Arial" w:cs="Arial"/>
                      <w:b/>
                      <w:bCs/>
                      <w:sz w:val="20"/>
                      <w:szCs w:val="20"/>
                    </w:rPr>
                  </w:pPr>
                  <w:r w:rsidRPr="00666328">
                    <w:rPr>
                      <w:rFonts w:ascii="Arial" w:hAnsi="Arial" w:cs="Arial"/>
                      <w:b/>
                      <w:bCs/>
                      <w:sz w:val="20"/>
                      <w:szCs w:val="20"/>
                    </w:rPr>
                    <w:t>18</w:t>
                  </w:r>
                </w:p>
              </w:tc>
              <w:tc>
                <w:tcPr>
                  <w:tcW w:w="1386" w:type="dxa"/>
                  <w:tcBorders>
                    <w:top w:val="single" w:sz="8" w:space="0" w:color="auto"/>
                    <w:left w:val="nil"/>
                    <w:bottom w:val="single" w:sz="4" w:space="0" w:color="auto"/>
                    <w:right w:val="single" w:sz="4" w:space="0" w:color="auto"/>
                  </w:tcBorders>
                  <w:shd w:val="clear" w:color="auto" w:fill="auto"/>
                  <w:noWrap/>
                  <w:vAlign w:val="bottom"/>
                </w:tcPr>
                <w:p w:rsidR="00666328" w:rsidRPr="00666328" w:rsidRDefault="00666328" w:rsidP="00666328">
                  <w:pPr>
                    <w:spacing w:after="0" w:line="240" w:lineRule="auto"/>
                    <w:jc w:val="center"/>
                    <w:rPr>
                      <w:rFonts w:ascii="Arial" w:hAnsi="Arial" w:cs="Arial"/>
                      <w:b/>
                      <w:bCs/>
                      <w:sz w:val="20"/>
                      <w:szCs w:val="20"/>
                    </w:rPr>
                  </w:pPr>
                  <w:r w:rsidRPr="00666328">
                    <w:rPr>
                      <w:rFonts w:ascii="Arial" w:hAnsi="Arial" w:cs="Arial"/>
                      <w:b/>
                      <w:bCs/>
                      <w:sz w:val="20"/>
                      <w:szCs w:val="20"/>
                    </w:rPr>
                    <w:t>15</w:t>
                  </w:r>
                </w:p>
              </w:tc>
              <w:tc>
                <w:tcPr>
                  <w:tcW w:w="1960" w:type="dxa"/>
                  <w:tcBorders>
                    <w:top w:val="single" w:sz="8" w:space="0" w:color="auto"/>
                    <w:left w:val="nil"/>
                    <w:bottom w:val="single" w:sz="4" w:space="0" w:color="auto"/>
                    <w:right w:val="single" w:sz="8" w:space="0" w:color="auto"/>
                  </w:tcBorders>
                  <w:shd w:val="clear" w:color="auto" w:fill="auto"/>
                  <w:noWrap/>
                  <w:vAlign w:val="bottom"/>
                </w:tcPr>
                <w:p w:rsidR="00666328" w:rsidRPr="00666328" w:rsidRDefault="00666328" w:rsidP="00666328">
                  <w:pPr>
                    <w:spacing w:after="0" w:line="240" w:lineRule="auto"/>
                    <w:jc w:val="center"/>
                    <w:rPr>
                      <w:rFonts w:ascii="Arial" w:hAnsi="Arial" w:cs="Arial"/>
                      <w:b/>
                      <w:bCs/>
                      <w:sz w:val="20"/>
                      <w:szCs w:val="20"/>
                    </w:rPr>
                  </w:pPr>
                  <w:r w:rsidRPr="00666328">
                    <w:rPr>
                      <w:rFonts w:ascii="Arial" w:hAnsi="Arial" w:cs="Arial"/>
                      <w:b/>
                      <w:bCs/>
                      <w:sz w:val="20"/>
                      <w:szCs w:val="20"/>
                    </w:rPr>
                    <w:t>18</w:t>
                  </w:r>
                </w:p>
              </w:tc>
            </w:tr>
            <w:tr w:rsidR="00666328" w:rsidRPr="00666328" w:rsidTr="00A00F2A">
              <w:trPr>
                <w:trHeight w:val="315"/>
                <w:jc w:val="center"/>
              </w:trPr>
              <w:tc>
                <w:tcPr>
                  <w:tcW w:w="1400" w:type="dxa"/>
                  <w:tcBorders>
                    <w:top w:val="nil"/>
                    <w:left w:val="single" w:sz="8" w:space="0" w:color="auto"/>
                    <w:bottom w:val="single" w:sz="8" w:space="0" w:color="auto"/>
                    <w:right w:val="single" w:sz="4" w:space="0" w:color="auto"/>
                  </w:tcBorders>
                  <w:shd w:val="clear" w:color="auto" w:fill="auto"/>
                  <w:noWrap/>
                  <w:vAlign w:val="bottom"/>
                  <w:hideMark/>
                </w:tcPr>
                <w:p w:rsidR="00666328" w:rsidRPr="00666328" w:rsidRDefault="00666328" w:rsidP="00666328">
                  <w:pPr>
                    <w:spacing w:after="0" w:line="240" w:lineRule="auto"/>
                    <w:jc w:val="center"/>
                    <w:rPr>
                      <w:rFonts w:ascii="Arial" w:hAnsi="Arial" w:cs="Arial"/>
                      <w:b/>
                      <w:bCs/>
                      <w:sz w:val="20"/>
                      <w:szCs w:val="20"/>
                      <w:lang w:eastAsia="es-CR"/>
                    </w:rPr>
                  </w:pPr>
                  <w:r w:rsidRPr="00666328">
                    <w:rPr>
                      <w:rFonts w:ascii="Arial" w:hAnsi="Arial" w:cs="Arial"/>
                      <w:b/>
                      <w:bCs/>
                      <w:sz w:val="20"/>
                      <w:szCs w:val="20"/>
                      <w:lang w:eastAsia="es-CR"/>
                    </w:rPr>
                    <w:t>%</w:t>
                  </w:r>
                </w:p>
              </w:tc>
              <w:tc>
                <w:tcPr>
                  <w:tcW w:w="1419" w:type="dxa"/>
                  <w:tcBorders>
                    <w:top w:val="nil"/>
                    <w:left w:val="nil"/>
                    <w:bottom w:val="single" w:sz="8" w:space="0" w:color="auto"/>
                    <w:right w:val="single" w:sz="4" w:space="0" w:color="auto"/>
                  </w:tcBorders>
                  <w:shd w:val="clear" w:color="auto" w:fill="auto"/>
                  <w:noWrap/>
                  <w:vAlign w:val="bottom"/>
                </w:tcPr>
                <w:p w:rsidR="00666328" w:rsidRPr="00666328" w:rsidRDefault="00666328" w:rsidP="00666328">
                  <w:pPr>
                    <w:spacing w:after="0" w:line="240" w:lineRule="auto"/>
                    <w:jc w:val="center"/>
                    <w:rPr>
                      <w:rFonts w:ascii="Arial" w:hAnsi="Arial" w:cs="Arial"/>
                      <w:b/>
                      <w:bCs/>
                      <w:color w:val="000000"/>
                      <w:sz w:val="20"/>
                      <w:szCs w:val="20"/>
                    </w:rPr>
                  </w:pPr>
                  <w:r w:rsidRPr="00666328">
                    <w:rPr>
                      <w:rFonts w:ascii="Arial" w:hAnsi="Arial" w:cs="Arial"/>
                      <w:b/>
                      <w:bCs/>
                      <w:color w:val="000000"/>
                      <w:sz w:val="20"/>
                      <w:szCs w:val="20"/>
                    </w:rPr>
                    <w:t>100%</w:t>
                  </w:r>
                </w:p>
              </w:tc>
              <w:tc>
                <w:tcPr>
                  <w:tcW w:w="1200" w:type="dxa"/>
                  <w:tcBorders>
                    <w:top w:val="nil"/>
                    <w:left w:val="nil"/>
                    <w:bottom w:val="single" w:sz="8" w:space="0" w:color="auto"/>
                    <w:right w:val="single" w:sz="4" w:space="0" w:color="auto"/>
                  </w:tcBorders>
                  <w:shd w:val="clear" w:color="auto" w:fill="auto"/>
                  <w:noWrap/>
                  <w:vAlign w:val="bottom"/>
                </w:tcPr>
                <w:p w:rsidR="00666328" w:rsidRPr="00666328" w:rsidRDefault="00666328" w:rsidP="00666328">
                  <w:pPr>
                    <w:spacing w:after="0" w:line="240" w:lineRule="auto"/>
                    <w:jc w:val="center"/>
                    <w:rPr>
                      <w:rFonts w:ascii="Arial" w:hAnsi="Arial" w:cs="Arial"/>
                      <w:b/>
                      <w:bCs/>
                      <w:color w:val="000000"/>
                      <w:sz w:val="20"/>
                      <w:szCs w:val="20"/>
                    </w:rPr>
                  </w:pPr>
                  <w:r w:rsidRPr="00666328">
                    <w:rPr>
                      <w:rFonts w:ascii="Arial" w:hAnsi="Arial" w:cs="Arial"/>
                      <w:b/>
                      <w:bCs/>
                      <w:color w:val="000000"/>
                      <w:sz w:val="20"/>
                      <w:szCs w:val="20"/>
                    </w:rPr>
                    <w:t>35%</w:t>
                  </w:r>
                </w:p>
              </w:tc>
              <w:tc>
                <w:tcPr>
                  <w:tcW w:w="1386" w:type="dxa"/>
                  <w:tcBorders>
                    <w:top w:val="nil"/>
                    <w:left w:val="nil"/>
                    <w:bottom w:val="single" w:sz="8" w:space="0" w:color="auto"/>
                    <w:right w:val="single" w:sz="4" w:space="0" w:color="auto"/>
                  </w:tcBorders>
                  <w:shd w:val="clear" w:color="auto" w:fill="auto"/>
                  <w:noWrap/>
                  <w:vAlign w:val="bottom"/>
                </w:tcPr>
                <w:p w:rsidR="00666328" w:rsidRPr="00666328" w:rsidRDefault="00666328" w:rsidP="00666328">
                  <w:pPr>
                    <w:spacing w:after="0" w:line="240" w:lineRule="auto"/>
                    <w:jc w:val="center"/>
                    <w:rPr>
                      <w:rFonts w:ascii="Arial" w:hAnsi="Arial" w:cs="Arial"/>
                      <w:b/>
                      <w:bCs/>
                      <w:color w:val="000000"/>
                      <w:sz w:val="20"/>
                      <w:szCs w:val="20"/>
                    </w:rPr>
                  </w:pPr>
                  <w:r w:rsidRPr="00666328">
                    <w:rPr>
                      <w:rFonts w:ascii="Arial" w:hAnsi="Arial" w:cs="Arial"/>
                      <w:b/>
                      <w:bCs/>
                      <w:color w:val="000000"/>
                      <w:sz w:val="20"/>
                      <w:szCs w:val="20"/>
                    </w:rPr>
                    <w:t>29%</w:t>
                  </w:r>
                </w:p>
              </w:tc>
              <w:tc>
                <w:tcPr>
                  <w:tcW w:w="1960" w:type="dxa"/>
                  <w:tcBorders>
                    <w:top w:val="nil"/>
                    <w:left w:val="nil"/>
                    <w:bottom w:val="single" w:sz="8" w:space="0" w:color="auto"/>
                    <w:right w:val="single" w:sz="8" w:space="0" w:color="auto"/>
                  </w:tcBorders>
                  <w:shd w:val="clear" w:color="auto" w:fill="auto"/>
                  <w:noWrap/>
                  <w:vAlign w:val="bottom"/>
                </w:tcPr>
                <w:p w:rsidR="00666328" w:rsidRPr="00666328" w:rsidRDefault="00666328" w:rsidP="00666328">
                  <w:pPr>
                    <w:spacing w:after="0" w:line="240" w:lineRule="auto"/>
                    <w:jc w:val="center"/>
                    <w:rPr>
                      <w:rFonts w:ascii="Arial" w:hAnsi="Arial" w:cs="Arial"/>
                      <w:b/>
                      <w:bCs/>
                      <w:color w:val="000000"/>
                      <w:sz w:val="20"/>
                      <w:szCs w:val="20"/>
                    </w:rPr>
                  </w:pPr>
                  <w:r w:rsidRPr="00666328">
                    <w:rPr>
                      <w:rFonts w:ascii="Arial" w:hAnsi="Arial" w:cs="Arial"/>
                      <w:b/>
                      <w:bCs/>
                      <w:color w:val="000000"/>
                      <w:sz w:val="20"/>
                      <w:szCs w:val="20"/>
                    </w:rPr>
                    <w:t>35%</w:t>
                  </w:r>
                </w:p>
              </w:tc>
            </w:tr>
          </w:tbl>
          <w:p w:rsidR="00666328" w:rsidRPr="00666328" w:rsidRDefault="00666328" w:rsidP="00666328">
            <w:pPr>
              <w:spacing w:after="0" w:line="240" w:lineRule="auto"/>
              <w:jc w:val="center"/>
              <w:rPr>
                <w:rFonts w:ascii="Arial" w:hAnsi="Arial" w:cs="Arial"/>
                <w:b/>
                <w:bCs/>
                <w:sz w:val="20"/>
                <w:szCs w:val="20"/>
                <w:lang w:eastAsia="es-CR"/>
              </w:rPr>
            </w:pPr>
          </w:p>
        </w:tc>
      </w:tr>
      <w:tr w:rsidR="00666328" w:rsidRPr="00666328" w:rsidTr="00A00F2A">
        <w:trPr>
          <w:trHeight w:val="315"/>
        </w:trPr>
        <w:tc>
          <w:tcPr>
            <w:tcW w:w="8946" w:type="dxa"/>
            <w:tcBorders>
              <w:top w:val="nil"/>
              <w:left w:val="nil"/>
              <w:bottom w:val="nil"/>
              <w:right w:val="nil"/>
            </w:tcBorders>
            <w:shd w:val="clear" w:color="auto" w:fill="auto"/>
            <w:vAlign w:val="bottom"/>
            <w:hideMark/>
          </w:tcPr>
          <w:p w:rsidR="00666328" w:rsidRPr="00666328" w:rsidRDefault="00666328" w:rsidP="00666328">
            <w:pPr>
              <w:spacing w:after="0" w:line="240" w:lineRule="auto"/>
              <w:rPr>
                <w:rFonts w:ascii="Arial" w:hAnsi="Arial" w:cs="Arial"/>
                <w:b/>
                <w:bCs/>
                <w:sz w:val="20"/>
                <w:szCs w:val="20"/>
                <w:lang w:eastAsia="es-CR"/>
              </w:rPr>
            </w:pPr>
            <w:r w:rsidRPr="00666328">
              <w:rPr>
                <w:rFonts w:ascii="Arial" w:hAnsi="Arial" w:cs="Arial"/>
                <w:b/>
                <w:bCs/>
                <w:sz w:val="20"/>
                <w:szCs w:val="20"/>
                <w:lang w:eastAsia="es-CR"/>
              </w:rPr>
              <w:t xml:space="preserve">               Fuente: Informe de rendimiento de cuentas del área. (2017)</w:t>
            </w:r>
          </w:p>
        </w:tc>
      </w:tr>
    </w:tbl>
    <w:p w:rsidR="00666328" w:rsidRPr="00666328" w:rsidRDefault="00666328" w:rsidP="00666328">
      <w:pPr>
        <w:spacing w:after="0" w:line="240" w:lineRule="auto"/>
        <w:ind w:left="567"/>
        <w:jc w:val="both"/>
        <w:rPr>
          <w:rFonts w:ascii="Arial" w:hAnsi="Arial" w:cs="Arial"/>
          <w:bCs/>
          <w:sz w:val="20"/>
          <w:szCs w:val="20"/>
          <w:lang w:eastAsia="es-CR"/>
        </w:rPr>
      </w:pPr>
    </w:p>
    <w:p w:rsidR="00666328" w:rsidRPr="00666328" w:rsidRDefault="00666328" w:rsidP="00666328">
      <w:pPr>
        <w:spacing w:after="0" w:line="240" w:lineRule="auto"/>
        <w:ind w:left="567"/>
        <w:jc w:val="both"/>
        <w:rPr>
          <w:rFonts w:ascii="Arial" w:hAnsi="Arial" w:cs="Arial"/>
          <w:bCs/>
          <w:sz w:val="20"/>
          <w:szCs w:val="20"/>
          <w:lang w:eastAsia="es-CR"/>
        </w:rPr>
      </w:pPr>
      <w:r w:rsidRPr="00666328">
        <w:rPr>
          <w:rFonts w:ascii="Arial" w:hAnsi="Arial" w:cs="Arial"/>
          <w:bCs/>
          <w:sz w:val="20"/>
          <w:szCs w:val="20"/>
          <w:lang w:eastAsia="es-CR"/>
        </w:rPr>
        <w:t xml:space="preserve">A diciembre se programó la ejecución de 51 metas, alcanzándose el cumplimiento de 18 metas, es decir un 35%, 15 metas se alcanzaron en forma parcial, que representa un 29% y se incumplieron 18 metas, para un 35%. </w:t>
      </w:r>
    </w:p>
    <w:p w:rsidR="00666328" w:rsidRPr="00666328" w:rsidRDefault="00666328" w:rsidP="00666328">
      <w:pPr>
        <w:spacing w:after="0" w:line="240" w:lineRule="auto"/>
        <w:ind w:left="567"/>
        <w:jc w:val="both"/>
        <w:rPr>
          <w:rFonts w:ascii="Arial" w:hAnsi="Arial" w:cs="Arial"/>
          <w:bCs/>
          <w:color w:val="FF0000"/>
          <w:sz w:val="20"/>
          <w:szCs w:val="20"/>
          <w:lang w:eastAsia="es-CR"/>
        </w:rPr>
      </w:pPr>
    </w:p>
    <w:p w:rsidR="003C01FF" w:rsidRDefault="00C212E2" w:rsidP="00C212E2">
      <w:pPr>
        <w:numPr>
          <w:ilvl w:val="0"/>
          <w:numId w:val="26"/>
        </w:numPr>
        <w:spacing w:after="0" w:line="240" w:lineRule="auto"/>
        <w:jc w:val="both"/>
        <w:rPr>
          <w:rFonts w:ascii="Arial" w:hAnsi="Arial" w:cs="Arial"/>
          <w:lang w:eastAsia="es-CR"/>
        </w:rPr>
      </w:pPr>
      <w:r w:rsidRPr="00C212E2">
        <w:rPr>
          <w:rFonts w:ascii="Arial" w:hAnsi="Arial" w:cs="Arial"/>
          <w:bCs/>
          <w:sz w:val="20"/>
          <w:szCs w:val="20"/>
          <w:lang w:eastAsia="es-CR"/>
        </w:rPr>
        <w:t>Cabe señalar, que las ventas de contratos para el último cuatrimestre del año 2017 se incrementaron en ¢7.312 (60%) en relación al último cuatrimestre del año 2016, es decir, pasaron de ¢12.101,0 millones a ¢19.413,0 millones.</w:t>
      </w:r>
      <w:r w:rsidRPr="00EC74C1">
        <w:rPr>
          <w:rFonts w:ascii="Arial" w:hAnsi="Arial" w:cs="Arial"/>
          <w:lang w:eastAsia="es-CR"/>
        </w:rPr>
        <w:t xml:space="preserve"> </w:t>
      </w:r>
    </w:p>
    <w:p w:rsidR="003C01FF" w:rsidRDefault="003C01FF">
      <w:pPr>
        <w:rPr>
          <w:rFonts w:ascii="Arial" w:hAnsi="Arial" w:cs="Arial"/>
          <w:lang w:eastAsia="es-CR"/>
        </w:rPr>
      </w:pPr>
      <w:r>
        <w:rPr>
          <w:rFonts w:ascii="Arial" w:hAnsi="Arial" w:cs="Arial"/>
          <w:lang w:eastAsia="es-CR"/>
        </w:rPr>
        <w:br w:type="page"/>
      </w:r>
    </w:p>
    <w:p w:rsidR="003C01FF" w:rsidRPr="003C01FF" w:rsidRDefault="003C01FF" w:rsidP="003C01FF">
      <w:pPr>
        <w:pStyle w:val="Prrafodelista"/>
        <w:numPr>
          <w:ilvl w:val="0"/>
          <w:numId w:val="26"/>
        </w:numPr>
        <w:spacing w:after="0" w:line="240" w:lineRule="auto"/>
        <w:ind w:left="720"/>
        <w:jc w:val="both"/>
        <w:rPr>
          <w:rFonts w:ascii="Arial" w:hAnsi="Arial" w:cs="Arial"/>
          <w:bCs/>
          <w:sz w:val="20"/>
          <w:szCs w:val="20"/>
          <w:lang w:eastAsia="es-CR"/>
        </w:rPr>
      </w:pPr>
      <w:r w:rsidRPr="003C01FF">
        <w:rPr>
          <w:rFonts w:ascii="Arial" w:hAnsi="Arial" w:cs="Arial"/>
          <w:bCs/>
          <w:sz w:val="20"/>
          <w:szCs w:val="20"/>
          <w:lang w:eastAsia="es-CR"/>
        </w:rPr>
        <w:lastRenderedPageBreak/>
        <w:t>De conformidad con el análisis de los resultados de la ejecución presupuestaria a diciembre 2017, la ejecución del total presupuestado es de un 41%, la partida que representa mayor porcentaje de ejecución  a nivel institucional es la de “Remuneraciones” con un 90% y “Activos Financieros” con un 54%.</w:t>
      </w:r>
    </w:p>
    <w:p w:rsidR="003C01FF" w:rsidRPr="003C01FF" w:rsidRDefault="003C01FF" w:rsidP="003C01FF">
      <w:pPr>
        <w:pStyle w:val="Prrafodelista"/>
        <w:spacing w:after="0" w:line="240" w:lineRule="auto"/>
        <w:jc w:val="both"/>
        <w:rPr>
          <w:rFonts w:ascii="Arial" w:hAnsi="Arial" w:cs="Arial"/>
          <w:bCs/>
          <w:sz w:val="20"/>
          <w:szCs w:val="20"/>
          <w:lang w:eastAsia="es-CR"/>
        </w:rPr>
      </w:pPr>
    </w:p>
    <w:p w:rsidR="003C01FF" w:rsidRDefault="003C01FF" w:rsidP="003C01FF">
      <w:pPr>
        <w:pStyle w:val="Prrafodelista"/>
        <w:spacing w:after="0" w:line="240" w:lineRule="auto"/>
        <w:jc w:val="both"/>
        <w:rPr>
          <w:rFonts w:ascii="Arial" w:hAnsi="Arial" w:cs="Arial"/>
          <w:bCs/>
          <w:sz w:val="20"/>
          <w:szCs w:val="20"/>
          <w:lang w:eastAsia="es-CR"/>
        </w:rPr>
      </w:pPr>
      <w:r w:rsidRPr="003C01FF">
        <w:rPr>
          <w:rFonts w:ascii="Arial" w:hAnsi="Arial" w:cs="Arial"/>
          <w:bCs/>
          <w:sz w:val="20"/>
          <w:szCs w:val="20"/>
          <w:lang w:eastAsia="es-CR"/>
        </w:rPr>
        <w:t>En el siguiente cuadro se muestra un resumen del comportamiento de los ingresos y su ejecución:</w:t>
      </w:r>
    </w:p>
    <w:p w:rsidR="003C01FF" w:rsidRDefault="003C01FF" w:rsidP="003C01FF">
      <w:pPr>
        <w:pStyle w:val="Prrafodelista"/>
        <w:spacing w:after="0" w:line="240" w:lineRule="auto"/>
        <w:jc w:val="both"/>
        <w:rPr>
          <w:rFonts w:ascii="Arial" w:hAnsi="Arial" w:cs="Arial"/>
          <w:bCs/>
          <w:sz w:val="20"/>
          <w:szCs w:val="20"/>
          <w:lang w:eastAsia="es-CR"/>
        </w:rPr>
      </w:pPr>
    </w:p>
    <w:p w:rsidR="003C01FF" w:rsidRPr="003C01FF" w:rsidRDefault="003C01FF" w:rsidP="003C01FF">
      <w:pPr>
        <w:pStyle w:val="Prrafodelista"/>
        <w:spacing w:after="0" w:line="240" w:lineRule="auto"/>
        <w:jc w:val="both"/>
        <w:rPr>
          <w:rFonts w:ascii="Arial" w:hAnsi="Arial" w:cs="Arial"/>
          <w:bCs/>
          <w:sz w:val="20"/>
          <w:szCs w:val="20"/>
          <w:lang w:eastAsia="es-CR"/>
        </w:rPr>
      </w:pPr>
    </w:p>
    <w:p w:rsidR="00C212E2" w:rsidRPr="00EC74C1" w:rsidRDefault="003C01FF" w:rsidP="003C01FF">
      <w:pPr>
        <w:spacing w:after="0" w:line="240" w:lineRule="auto"/>
        <w:ind w:left="719"/>
        <w:jc w:val="both"/>
        <w:rPr>
          <w:rFonts w:ascii="Arial" w:hAnsi="Arial" w:cs="Arial"/>
          <w:lang w:eastAsia="es-CR"/>
        </w:rPr>
      </w:pPr>
      <w:r w:rsidRPr="00F115D3">
        <w:rPr>
          <w:rFonts w:ascii="Arial" w:hAnsi="Arial" w:cs="Arial"/>
          <w:noProof/>
          <w:sz w:val="20"/>
          <w:szCs w:val="20"/>
          <w:lang w:eastAsia="es-CR"/>
        </w:rPr>
        <w:drawing>
          <wp:inline distT="0" distB="0" distL="0" distR="0" wp14:anchorId="7DB6A317" wp14:editId="629BA2D0">
            <wp:extent cx="5612130" cy="3982247"/>
            <wp:effectExtent l="0" t="0" r="762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612130" cy="3982247"/>
                    </a:xfrm>
                    <a:prstGeom prst="rect">
                      <a:avLst/>
                    </a:prstGeom>
                    <a:noFill/>
                    <a:ln>
                      <a:noFill/>
                    </a:ln>
                  </pic:spPr>
                </pic:pic>
              </a:graphicData>
            </a:graphic>
          </wp:inline>
        </w:drawing>
      </w:r>
    </w:p>
    <w:p w:rsidR="003C01FF" w:rsidRDefault="003C01FF">
      <w:pPr>
        <w:rPr>
          <w:rFonts w:ascii="Arial" w:hAnsi="Arial" w:cs="Arial"/>
          <w:sz w:val="20"/>
          <w:szCs w:val="20"/>
        </w:rPr>
      </w:pPr>
      <w:r>
        <w:rPr>
          <w:rFonts w:ascii="Arial" w:hAnsi="Arial" w:cs="Arial"/>
          <w:sz w:val="20"/>
          <w:szCs w:val="20"/>
        </w:rPr>
        <w:br w:type="page"/>
      </w:r>
    </w:p>
    <w:p w:rsidR="003C01FF" w:rsidRDefault="003C01FF" w:rsidP="003C01FF">
      <w:pPr>
        <w:spacing w:after="0" w:line="240" w:lineRule="auto"/>
        <w:jc w:val="both"/>
        <w:rPr>
          <w:rFonts w:ascii="Arial" w:hAnsi="Arial" w:cs="Arial"/>
          <w:bCs/>
          <w:sz w:val="20"/>
          <w:szCs w:val="20"/>
          <w:lang w:eastAsia="es-CR"/>
        </w:rPr>
      </w:pPr>
    </w:p>
    <w:p w:rsidR="003C01FF" w:rsidRPr="003C01FF" w:rsidRDefault="003C01FF" w:rsidP="003C01FF">
      <w:pPr>
        <w:spacing w:after="0" w:line="240" w:lineRule="auto"/>
        <w:jc w:val="both"/>
        <w:rPr>
          <w:rFonts w:ascii="Arial" w:hAnsi="Arial" w:cs="Arial"/>
          <w:bCs/>
          <w:sz w:val="20"/>
          <w:szCs w:val="20"/>
          <w:lang w:eastAsia="es-CR"/>
        </w:rPr>
      </w:pPr>
      <w:r w:rsidRPr="003C01FF">
        <w:rPr>
          <w:rFonts w:ascii="Arial" w:hAnsi="Arial" w:cs="Arial"/>
          <w:bCs/>
          <w:sz w:val="20"/>
          <w:szCs w:val="20"/>
          <w:lang w:eastAsia="es-CR"/>
        </w:rPr>
        <w:t xml:space="preserve">En el siguiente cuadro se muestra un resumen del comportamiento de los </w:t>
      </w:r>
      <w:r>
        <w:rPr>
          <w:rFonts w:ascii="Arial" w:hAnsi="Arial" w:cs="Arial"/>
          <w:bCs/>
          <w:sz w:val="20"/>
          <w:szCs w:val="20"/>
          <w:lang w:eastAsia="es-CR"/>
        </w:rPr>
        <w:t>productos y servicios</w:t>
      </w:r>
      <w:r w:rsidRPr="003C01FF">
        <w:rPr>
          <w:rFonts w:ascii="Arial" w:hAnsi="Arial" w:cs="Arial"/>
          <w:bCs/>
          <w:sz w:val="20"/>
          <w:szCs w:val="20"/>
          <w:lang w:eastAsia="es-CR"/>
        </w:rPr>
        <w:t>:</w:t>
      </w:r>
    </w:p>
    <w:p w:rsidR="00C212E2" w:rsidRDefault="00C212E2" w:rsidP="003C01FF">
      <w:pPr>
        <w:jc w:val="center"/>
        <w:rPr>
          <w:rFonts w:ascii="Arial" w:eastAsiaTheme="majorEastAsia" w:hAnsi="Arial" w:cs="Arial"/>
          <w:color w:val="365F91" w:themeColor="accent1" w:themeShade="BF"/>
          <w:sz w:val="20"/>
          <w:szCs w:val="20"/>
        </w:rPr>
      </w:pPr>
      <w:bookmarkStart w:id="16" w:name="_Toc467236086"/>
      <w:bookmarkStart w:id="17" w:name="_Toc482965771"/>
      <w:r>
        <w:rPr>
          <w:noProof/>
          <w:lang w:eastAsia="es-CR"/>
        </w:rPr>
        <w:drawing>
          <wp:inline distT="0" distB="0" distL="0" distR="0" wp14:anchorId="1F8E3E01" wp14:editId="2EED6B3B">
            <wp:extent cx="5857875" cy="6888305"/>
            <wp:effectExtent l="0" t="0" r="0" b="8255"/>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858003" cy="6888455"/>
                    </a:xfrm>
                    <a:prstGeom prst="rect">
                      <a:avLst/>
                    </a:prstGeom>
                    <a:noFill/>
                    <a:ln>
                      <a:noFill/>
                    </a:ln>
                  </pic:spPr>
                </pic:pic>
              </a:graphicData>
            </a:graphic>
          </wp:inline>
        </w:drawing>
      </w:r>
      <w:r>
        <w:rPr>
          <w:rFonts w:ascii="Arial" w:hAnsi="Arial" w:cs="Arial"/>
          <w:sz w:val="20"/>
          <w:szCs w:val="20"/>
        </w:rPr>
        <w:br w:type="page"/>
      </w:r>
    </w:p>
    <w:p w:rsidR="00666328" w:rsidRDefault="00666328" w:rsidP="00666328">
      <w:pPr>
        <w:pStyle w:val="Ttulo1"/>
        <w:keepLines w:val="0"/>
        <w:spacing w:before="0" w:line="240" w:lineRule="auto"/>
        <w:rPr>
          <w:rFonts w:ascii="Arial" w:hAnsi="Arial" w:cs="Arial"/>
          <w:noProof/>
          <w:sz w:val="20"/>
          <w:szCs w:val="20"/>
          <w:lang w:eastAsia="es-CR"/>
        </w:rPr>
      </w:pPr>
    </w:p>
    <w:p w:rsidR="00666328" w:rsidRDefault="00666328" w:rsidP="00666328">
      <w:pPr>
        <w:pStyle w:val="Ttulo1"/>
        <w:keepLines w:val="0"/>
        <w:spacing w:before="0" w:line="240" w:lineRule="auto"/>
        <w:rPr>
          <w:rFonts w:ascii="Arial" w:hAnsi="Arial" w:cs="Arial"/>
          <w:noProof/>
          <w:sz w:val="20"/>
          <w:szCs w:val="20"/>
          <w:lang w:eastAsia="es-CR"/>
        </w:rPr>
      </w:pPr>
    </w:p>
    <w:p w:rsidR="00666328" w:rsidRDefault="00666328" w:rsidP="00666328">
      <w:pPr>
        <w:pStyle w:val="Ttulo1"/>
        <w:keepLines w:val="0"/>
        <w:numPr>
          <w:ilvl w:val="0"/>
          <w:numId w:val="1"/>
        </w:numPr>
        <w:spacing w:after="60" w:line="240" w:lineRule="auto"/>
        <w:jc w:val="both"/>
        <w:rPr>
          <w:rFonts w:ascii="Arial" w:eastAsia="Times New Roman" w:hAnsi="Arial" w:cs="Arial"/>
          <w:b/>
          <w:bCs/>
          <w:color w:val="auto"/>
          <w:kern w:val="32"/>
          <w:sz w:val="20"/>
          <w:szCs w:val="20"/>
          <w:lang w:eastAsia="es-ES"/>
        </w:rPr>
      </w:pPr>
      <w:r w:rsidRPr="00666328">
        <w:rPr>
          <w:rFonts w:ascii="Arial" w:eastAsia="Times New Roman" w:hAnsi="Arial" w:cs="Arial"/>
          <w:b/>
          <w:bCs/>
          <w:color w:val="auto"/>
          <w:kern w:val="32"/>
          <w:sz w:val="20"/>
          <w:szCs w:val="20"/>
          <w:lang w:eastAsia="es-ES"/>
        </w:rPr>
        <w:t>RECOMENDACIONES</w:t>
      </w:r>
      <w:bookmarkEnd w:id="16"/>
      <w:bookmarkEnd w:id="17"/>
    </w:p>
    <w:p w:rsidR="00666328" w:rsidRPr="00666328" w:rsidRDefault="00666328" w:rsidP="00666328">
      <w:pPr>
        <w:pStyle w:val="Prrafodelista"/>
        <w:spacing w:after="0" w:line="240" w:lineRule="auto"/>
        <w:jc w:val="both"/>
        <w:rPr>
          <w:rFonts w:ascii="Arial" w:hAnsi="Arial" w:cs="Arial"/>
          <w:bCs/>
          <w:color w:val="FF0000"/>
          <w:sz w:val="20"/>
          <w:szCs w:val="20"/>
          <w:lang w:eastAsia="es-CR"/>
        </w:rPr>
      </w:pPr>
    </w:p>
    <w:p w:rsidR="00666328" w:rsidRPr="00666328" w:rsidRDefault="00666328" w:rsidP="00666328">
      <w:pPr>
        <w:numPr>
          <w:ilvl w:val="0"/>
          <w:numId w:val="27"/>
        </w:numPr>
        <w:spacing w:after="0" w:line="240" w:lineRule="auto"/>
        <w:jc w:val="both"/>
        <w:rPr>
          <w:rFonts w:ascii="Arial" w:hAnsi="Arial" w:cs="Arial"/>
          <w:bCs/>
          <w:sz w:val="20"/>
          <w:szCs w:val="20"/>
          <w:lang w:eastAsia="es-CR"/>
        </w:rPr>
      </w:pPr>
      <w:r w:rsidRPr="00666328">
        <w:rPr>
          <w:rFonts w:ascii="Arial" w:hAnsi="Arial" w:cs="Arial"/>
          <w:bCs/>
          <w:sz w:val="20"/>
          <w:szCs w:val="20"/>
          <w:lang w:eastAsia="es-CR"/>
        </w:rPr>
        <w:t>Analizar los principales factores que han afectado la ejecución presupuestaria en el último quinquenio, con el objetivo de mejorar los porcentajes de ejecución</w:t>
      </w:r>
      <w:r w:rsidR="00C7082B">
        <w:rPr>
          <w:rFonts w:ascii="Arial" w:hAnsi="Arial" w:cs="Arial"/>
          <w:bCs/>
          <w:sz w:val="20"/>
          <w:szCs w:val="20"/>
          <w:lang w:eastAsia="es-CR"/>
        </w:rPr>
        <w:t xml:space="preserve">, </w:t>
      </w:r>
      <w:r w:rsidR="00675825">
        <w:rPr>
          <w:rFonts w:ascii="Arial" w:hAnsi="Arial" w:cs="Arial"/>
          <w:bCs/>
          <w:sz w:val="20"/>
          <w:szCs w:val="20"/>
          <w:lang w:eastAsia="es-CR"/>
        </w:rPr>
        <w:t xml:space="preserve">con la participación del </w:t>
      </w:r>
      <w:r w:rsidR="00C7082B">
        <w:rPr>
          <w:rFonts w:ascii="Arial" w:hAnsi="Arial" w:cs="Arial"/>
          <w:bCs/>
          <w:sz w:val="20"/>
          <w:szCs w:val="20"/>
          <w:lang w:eastAsia="es-CR"/>
        </w:rPr>
        <w:t xml:space="preserve"> Con</w:t>
      </w:r>
      <w:r w:rsidR="00675825">
        <w:rPr>
          <w:rFonts w:ascii="Arial" w:hAnsi="Arial" w:cs="Arial"/>
          <w:bCs/>
          <w:sz w:val="20"/>
          <w:szCs w:val="20"/>
          <w:lang w:eastAsia="es-CR"/>
        </w:rPr>
        <w:t>s</w:t>
      </w:r>
      <w:r w:rsidR="00C7082B">
        <w:rPr>
          <w:rFonts w:ascii="Arial" w:hAnsi="Arial" w:cs="Arial"/>
          <w:bCs/>
          <w:sz w:val="20"/>
          <w:szCs w:val="20"/>
          <w:lang w:eastAsia="es-CR"/>
        </w:rPr>
        <w:t>ejo Técnico</w:t>
      </w:r>
      <w:r w:rsidR="00675825">
        <w:rPr>
          <w:rFonts w:ascii="Arial" w:hAnsi="Arial" w:cs="Arial"/>
          <w:bCs/>
          <w:sz w:val="20"/>
          <w:szCs w:val="20"/>
          <w:lang w:eastAsia="es-CR"/>
        </w:rPr>
        <w:t xml:space="preserve"> Consultivo</w:t>
      </w:r>
      <w:r w:rsidRPr="00666328">
        <w:rPr>
          <w:rFonts w:ascii="Arial" w:hAnsi="Arial" w:cs="Arial"/>
          <w:bCs/>
          <w:sz w:val="20"/>
          <w:szCs w:val="20"/>
          <w:lang w:eastAsia="es-CR"/>
        </w:rPr>
        <w:t xml:space="preserve">, </w:t>
      </w:r>
      <w:r w:rsidR="00C7082B">
        <w:rPr>
          <w:rFonts w:ascii="Arial" w:hAnsi="Arial" w:cs="Arial"/>
          <w:bCs/>
          <w:sz w:val="20"/>
          <w:szCs w:val="20"/>
          <w:lang w:eastAsia="es-CR"/>
        </w:rPr>
        <w:t xml:space="preserve">para </w:t>
      </w:r>
      <w:r w:rsidRPr="00666328">
        <w:rPr>
          <w:rFonts w:ascii="Arial" w:hAnsi="Arial" w:cs="Arial"/>
          <w:bCs/>
          <w:sz w:val="20"/>
          <w:szCs w:val="20"/>
          <w:lang w:eastAsia="es-CR"/>
        </w:rPr>
        <w:t>que revise y valore métodos de programación, supuestos de las estimaciones, documentos de respaldo, insumos para la programación, factores externos, justificaciones de la no ejecución, entre otros elementos que permitan a la Institución establecer las acciones de mejora pertinentes.</w:t>
      </w:r>
    </w:p>
    <w:p w:rsidR="00666328" w:rsidRPr="00666328" w:rsidRDefault="00666328" w:rsidP="00666328">
      <w:pPr>
        <w:pStyle w:val="Prrafodelista"/>
        <w:spacing w:after="0" w:line="240" w:lineRule="auto"/>
        <w:jc w:val="both"/>
        <w:rPr>
          <w:rFonts w:ascii="Arial" w:hAnsi="Arial" w:cs="Arial"/>
          <w:bCs/>
          <w:sz w:val="20"/>
          <w:szCs w:val="20"/>
          <w:lang w:eastAsia="es-CR"/>
        </w:rPr>
      </w:pPr>
    </w:p>
    <w:p w:rsidR="00666328" w:rsidRPr="00666328" w:rsidRDefault="00C7082B" w:rsidP="00666328">
      <w:pPr>
        <w:numPr>
          <w:ilvl w:val="0"/>
          <w:numId w:val="27"/>
        </w:numPr>
        <w:spacing w:after="0" w:line="240" w:lineRule="auto"/>
        <w:jc w:val="both"/>
        <w:rPr>
          <w:rFonts w:ascii="Arial" w:hAnsi="Arial" w:cs="Arial"/>
          <w:bCs/>
          <w:sz w:val="20"/>
          <w:szCs w:val="20"/>
          <w:lang w:eastAsia="es-CR"/>
        </w:rPr>
      </w:pPr>
      <w:r>
        <w:rPr>
          <w:rFonts w:ascii="Arial" w:hAnsi="Arial" w:cs="Arial"/>
          <w:bCs/>
          <w:sz w:val="20"/>
          <w:szCs w:val="20"/>
          <w:lang w:eastAsia="es-CR"/>
        </w:rPr>
        <w:t>E</w:t>
      </w:r>
      <w:r w:rsidR="00666328" w:rsidRPr="00666328">
        <w:rPr>
          <w:rFonts w:ascii="Arial" w:hAnsi="Arial" w:cs="Arial"/>
          <w:bCs/>
          <w:sz w:val="20"/>
          <w:szCs w:val="20"/>
          <w:lang w:eastAsia="es-CR"/>
        </w:rPr>
        <w:t>mpoder</w:t>
      </w:r>
      <w:r>
        <w:rPr>
          <w:rFonts w:ascii="Arial" w:hAnsi="Arial" w:cs="Arial"/>
          <w:bCs/>
          <w:sz w:val="20"/>
          <w:szCs w:val="20"/>
          <w:lang w:eastAsia="es-CR"/>
        </w:rPr>
        <w:t>ar</w:t>
      </w:r>
      <w:r w:rsidR="00666328" w:rsidRPr="00666328">
        <w:rPr>
          <w:rFonts w:ascii="Arial" w:hAnsi="Arial" w:cs="Arial"/>
          <w:bCs/>
          <w:sz w:val="20"/>
          <w:szCs w:val="20"/>
          <w:lang w:eastAsia="es-CR"/>
        </w:rPr>
        <w:t xml:space="preserve"> </w:t>
      </w:r>
      <w:r>
        <w:rPr>
          <w:rFonts w:ascii="Arial" w:hAnsi="Arial" w:cs="Arial"/>
          <w:bCs/>
          <w:sz w:val="20"/>
          <w:szCs w:val="20"/>
          <w:lang w:eastAsia="es-CR"/>
        </w:rPr>
        <w:t xml:space="preserve">por parte de </w:t>
      </w:r>
      <w:r w:rsidRPr="00666328">
        <w:rPr>
          <w:rFonts w:ascii="Arial" w:hAnsi="Arial" w:cs="Arial"/>
          <w:bCs/>
          <w:sz w:val="20"/>
          <w:szCs w:val="20"/>
          <w:lang w:eastAsia="es-CR"/>
        </w:rPr>
        <w:t>las jefaturas</w:t>
      </w:r>
      <w:r>
        <w:rPr>
          <w:rFonts w:ascii="Arial" w:hAnsi="Arial" w:cs="Arial"/>
          <w:bCs/>
          <w:sz w:val="20"/>
          <w:szCs w:val="20"/>
          <w:lang w:eastAsia="es-CR"/>
        </w:rPr>
        <w:t xml:space="preserve"> </w:t>
      </w:r>
      <w:r w:rsidR="00666328" w:rsidRPr="00666328">
        <w:rPr>
          <w:rFonts w:ascii="Arial" w:hAnsi="Arial" w:cs="Arial"/>
          <w:bCs/>
          <w:sz w:val="20"/>
          <w:szCs w:val="20"/>
          <w:lang w:eastAsia="es-CR"/>
        </w:rPr>
        <w:t>a todos los responsables en el tema del Plan Operativo Institucional (POI)- Presupuesto, principalmente en lo relativo a programación, control y seguimiento</w:t>
      </w:r>
      <w:r w:rsidR="0020028D">
        <w:rPr>
          <w:rFonts w:ascii="Arial" w:hAnsi="Arial" w:cs="Arial"/>
          <w:bCs/>
          <w:sz w:val="20"/>
          <w:szCs w:val="20"/>
          <w:lang w:eastAsia="es-CR"/>
        </w:rPr>
        <w:t xml:space="preserve">, para </w:t>
      </w:r>
      <w:r w:rsidR="00666328" w:rsidRPr="00666328">
        <w:rPr>
          <w:rFonts w:ascii="Arial" w:hAnsi="Arial" w:cs="Arial"/>
          <w:bCs/>
          <w:sz w:val="20"/>
          <w:szCs w:val="20"/>
          <w:lang w:eastAsia="es-CR"/>
        </w:rPr>
        <w:t>facilita</w:t>
      </w:r>
      <w:r w:rsidR="0020028D">
        <w:rPr>
          <w:rFonts w:ascii="Arial" w:hAnsi="Arial" w:cs="Arial"/>
          <w:bCs/>
          <w:sz w:val="20"/>
          <w:szCs w:val="20"/>
          <w:lang w:eastAsia="es-CR"/>
        </w:rPr>
        <w:t>r</w:t>
      </w:r>
      <w:r w:rsidR="00666328" w:rsidRPr="00666328">
        <w:rPr>
          <w:rFonts w:ascii="Arial" w:hAnsi="Arial" w:cs="Arial"/>
          <w:bCs/>
          <w:sz w:val="20"/>
          <w:szCs w:val="20"/>
          <w:lang w:eastAsia="es-CR"/>
        </w:rPr>
        <w:t xml:space="preserve"> la priorización de actividades </w:t>
      </w:r>
      <w:r w:rsidR="0020028D">
        <w:rPr>
          <w:rFonts w:ascii="Arial" w:hAnsi="Arial" w:cs="Arial"/>
          <w:bCs/>
          <w:sz w:val="20"/>
          <w:szCs w:val="20"/>
          <w:lang w:eastAsia="es-CR"/>
        </w:rPr>
        <w:t xml:space="preserve">en el cumplimiento de </w:t>
      </w:r>
      <w:r w:rsidR="00666328" w:rsidRPr="00666328">
        <w:rPr>
          <w:rFonts w:ascii="Arial" w:hAnsi="Arial" w:cs="Arial"/>
          <w:bCs/>
          <w:sz w:val="20"/>
          <w:szCs w:val="20"/>
          <w:lang w:eastAsia="es-CR"/>
        </w:rPr>
        <w:t>metas.</w:t>
      </w:r>
    </w:p>
    <w:p w:rsidR="00666328" w:rsidRPr="00666328" w:rsidRDefault="00666328" w:rsidP="00666328">
      <w:pPr>
        <w:pStyle w:val="Prrafodelista"/>
        <w:spacing w:after="0" w:line="240" w:lineRule="auto"/>
        <w:jc w:val="both"/>
        <w:rPr>
          <w:rFonts w:ascii="Arial" w:hAnsi="Arial" w:cs="Arial"/>
          <w:sz w:val="20"/>
          <w:szCs w:val="20"/>
        </w:rPr>
      </w:pPr>
    </w:p>
    <w:p w:rsidR="00666328" w:rsidRPr="00666328" w:rsidRDefault="00666328" w:rsidP="00666328">
      <w:pPr>
        <w:numPr>
          <w:ilvl w:val="0"/>
          <w:numId w:val="27"/>
        </w:numPr>
        <w:spacing w:after="0" w:line="240" w:lineRule="auto"/>
        <w:jc w:val="both"/>
        <w:rPr>
          <w:rFonts w:ascii="Arial" w:hAnsi="Arial" w:cs="Arial"/>
          <w:bCs/>
          <w:sz w:val="20"/>
          <w:szCs w:val="20"/>
          <w:lang w:eastAsia="es-CR"/>
        </w:rPr>
      </w:pPr>
      <w:r w:rsidRPr="00666328">
        <w:rPr>
          <w:rFonts w:ascii="Arial" w:hAnsi="Arial" w:cs="Arial"/>
          <w:bCs/>
          <w:sz w:val="20"/>
          <w:szCs w:val="20"/>
          <w:lang w:eastAsia="es-CR"/>
        </w:rPr>
        <w:t>Valorar</w:t>
      </w:r>
      <w:r w:rsidR="00C7082B">
        <w:rPr>
          <w:rFonts w:ascii="Arial" w:hAnsi="Arial" w:cs="Arial"/>
          <w:bCs/>
          <w:sz w:val="20"/>
          <w:szCs w:val="20"/>
          <w:lang w:eastAsia="es-CR"/>
        </w:rPr>
        <w:t xml:space="preserve">, documentar </w:t>
      </w:r>
      <w:r w:rsidRPr="00666328">
        <w:rPr>
          <w:rFonts w:ascii="Arial" w:hAnsi="Arial" w:cs="Arial"/>
          <w:bCs/>
          <w:sz w:val="20"/>
          <w:szCs w:val="20"/>
          <w:lang w:eastAsia="es-CR"/>
        </w:rPr>
        <w:t xml:space="preserve">y actualizar </w:t>
      </w:r>
      <w:r w:rsidR="00C7082B">
        <w:rPr>
          <w:rFonts w:ascii="Arial" w:hAnsi="Arial" w:cs="Arial"/>
          <w:bCs/>
          <w:sz w:val="20"/>
          <w:szCs w:val="20"/>
          <w:lang w:eastAsia="es-CR"/>
        </w:rPr>
        <w:t xml:space="preserve">las tarifas </w:t>
      </w:r>
      <w:r w:rsidRPr="00666328">
        <w:rPr>
          <w:rFonts w:ascii="Arial" w:hAnsi="Arial" w:cs="Arial"/>
          <w:bCs/>
          <w:sz w:val="20"/>
          <w:szCs w:val="20"/>
          <w:lang w:eastAsia="es-CR"/>
        </w:rPr>
        <w:t xml:space="preserve">por alquileres, servicios, </w:t>
      </w:r>
      <w:r w:rsidR="00C7082B" w:rsidRPr="00666328">
        <w:rPr>
          <w:rFonts w:ascii="Arial" w:hAnsi="Arial" w:cs="Arial"/>
          <w:bCs/>
          <w:sz w:val="20"/>
          <w:szCs w:val="20"/>
          <w:lang w:eastAsia="es-CR"/>
        </w:rPr>
        <w:t>constancias,</w:t>
      </w:r>
      <w:r w:rsidR="00C7082B">
        <w:rPr>
          <w:rFonts w:ascii="Arial" w:hAnsi="Arial" w:cs="Arial"/>
          <w:bCs/>
          <w:sz w:val="20"/>
          <w:szCs w:val="20"/>
          <w:lang w:eastAsia="es-CR"/>
        </w:rPr>
        <w:t xml:space="preserve"> entre otros y </w:t>
      </w:r>
      <w:r w:rsidRPr="00666328">
        <w:rPr>
          <w:rFonts w:ascii="Arial" w:hAnsi="Arial" w:cs="Arial"/>
          <w:bCs/>
          <w:sz w:val="20"/>
          <w:szCs w:val="20"/>
          <w:lang w:eastAsia="es-CR"/>
        </w:rPr>
        <w:t xml:space="preserve">oficializar </w:t>
      </w:r>
      <w:r w:rsidR="0020028D">
        <w:rPr>
          <w:rFonts w:ascii="Arial" w:hAnsi="Arial" w:cs="Arial"/>
          <w:bCs/>
          <w:sz w:val="20"/>
          <w:szCs w:val="20"/>
          <w:lang w:eastAsia="es-CR"/>
        </w:rPr>
        <w:t>esos</w:t>
      </w:r>
      <w:r w:rsidRPr="00666328">
        <w:rPr>
          <w:rFonts w:ascii="Arial" w:hAnsi="Arial" w:cs="Arial"/>
          <w:bCs/>
          <w:sz w:val="20"/>
          <w:szCs w:val="20"/>
          <w:lang w:eastAsia="es-CR"/>
        </w:rPr>
        <w:t xml:space="preserve"> métodos.</w:t>
      </w:r>
    </w:p>
    <w:p w:rsidR="00666328" w:rsidRPr="00666328" w:rsidRDefault="00666328" w:rsidP="00666328">
      <w:pPr>
        <w:pStyle w:val="Prrafodelista"/>
        <w:spacing w:after="0" w:line="240" w:lineRule="auto"/>
        <w:jc w:val="both"/>
        <w:rPr>
          <w:rFonts w:ascii="Arial" w:hAnsi="Arial" w:cs="Arial"/>
          <w:bCs/>
          <w:sz w:val="20"/>
          <w:szCs w:val="20"/>
          <w:lang w:eastAsia="es-CR"/>
        </w:rPr>
      </w:pPr>
    </w:p>
    <w:p w:rsidR="00666328" w:rsidRPr="00666328" w:rsidRDefault="00C7082B" w:rsidP="00666328">
      <w:pPr>
        <w:numPr>
          <w:ilvl w:val="0"/>
          <w:numId w:val="27"/>
        </w:numPr>
        <w:spacing w:after="0" w:line="240" w:lineRule="auto"/>
        <w:jc w:val="both"/>
        <w:rPr>
          <w:rFonts w:ascii="Arial" w:hAnsi="Arial" w:cs="Arial"/>
          <w:bCs/>
          <w:sz w:val="20"/>
          <w:szCs w:val="20"/>
          <w:lang w:eastAsia="es-CR"/>
        </w:rPr>
      </w:pPr>
      <w:r>
        <w:rPr>
          <w:rFonts w:ascii="Arial" w:hAnsi="Arial" w:cs="Arial"/>
          <w:bCs/>
          <w:sz w:val="20"/>
          <w:szCs w:val="20"/>
          <w:lang w:eastAsia="es-CR"/>
        </w:rPr>
        <w:t>I</w:t>
      </w:r>
      <w:r w:rsidR="00666328" w:rsidRPr="00666328">
        <w:rPr>
          <w:rFonts w:ascii="Arial" w:hAnsi="Arial" w:cs="Arial"/>
          <w:bCs/>
          <w:sz w:val="20"/>
          <w:szCs w:val="20"/>
          <w:lang w:eastAsia="es-CR"/>
        </w:rPr>
        <w:t>dentifica</w:t>
      </w:r>
      <w:r>
        <w:rPr>
          <w:rFonts w:ascii="Arial" w:hAnsi="Arial" w:cs="Arial"/>
          <w:bCs/>
          <w:sz w:val="20"/>
          <w:szCs w:val="20"/>
          <w:lang w:eastAsia="es-CR"/>
        </w:rPr>
        <w:t>r</w:t>
      </w:r>
      <w:r w:rsidR="00666328" w:rsidRPr="00666328">
        <w:rPr>
          <w:rFonts w:ascii="Arial" w:hAnsi="Arial" w:cs="Arial"/>
          <w:bCs/>
          <w:sz w:val="20"/>
          <w:szCs w:val="20"/>
          <w:lang w:eastAsia="es-CR"/>
        </w:rPr>
        <w:t xml:space="preserve"> nuevas fuentes de ingreso</w:t>
      </w:r>
      <w:r>
        <w:rPr>
          <w:rFonts w:ascii="Arial" w:hAnsi="Arial" w:cs="Arial"/>
          <w:bCs/>
          <w:sz w:val="20"/>
          <w:szCs w:val="20"/>
          <w:lang w:eastAsia="es-CR"/>
        </w:rPr>
        <w:t>s</w:t>
      </w:r>
      <w:r w:rsidR="00666328" w:rsidRPr="00666328">
        <w:rPr>
          <w:rFonts w:ascii="Arial" w:hAnsi="Arial" w:cs="Arial"/>
          <w:bCs/>
          <w:sz w:val="20"/>
          <w:szCs w:val="20"/>
          <w:lang w:eastAsia="es-CR"/>
        </w:rPr>
        <w:t xml:space="preserve">, que contribuyan al financiamiento de la capacidad operativa y al desarrollo de proyectos.   </w:t>
      </w:r>
    </w:p>
    <w:p w:rsidR="00666328" w:rsidRPr="00666328" w:rsidRDefault="00666328" w:rsidP="00666328">
      <w:pPr>
        <w:pStyle w:val="Prrafodelista"/>
        <w:spacing w:after="0" w:line="240" w:lineRule="auto"/>
        <w:jc w:val="both"/>
        <w:rPr>
          <w:rFonts w:ascii="Arial" w:hAnsi="Arial" w:cs="Arial"/>
          <w:bCs/>
          <w:sz w:val="20"/>
          <w:szCs w:val="20"/>
          <w:lang w:eastAsia="es-CR"/>
        </w:rPr>
      </w:pPr>
    </w:p>
    <w:p w:rsidR="00666328" w:rsidRPr="00666328" w:rsidRDefault="00666328" w:rsidP="00666328">
      <w:pPr>
        <w:numPr>
          <w:ilvl w:val="0"/>
          <w:numId w:val="27"/>
        </w:numPr>
        <w:spacing w:after="0" w:line="240" w:lineRule="auto"/>
        <w:jc w:val="both"/>
        <w:rPr>
          <w:rFonts w:ascii="Arial" w:hAnsi="Arial" w:cs="Arial"/>
          <w:bCs/>
          <w:sz w:val="20"/>
          <w:szCs w:val="20"/>
          <w:lang w:eastAsia="es-CR"/>
        </w:rPr>
      </w:pPr>
      <w:r w:rsidRPr="00666328">
        <w:rPr>
          <w:rFonts w:ascii="Arial" w:hAnsi="Arial" w:cs="Arial"/>
          <w:bCs/>
          <w:sz w:val="20"/>
          <w:szCs w:val="20"/>
          <w:lang w:eastAsia="es-CR"/>
        </w:rPr>
        <w:t>Priorizar en todos los niveles de la organización, las actividades relacionadas con aquellos proyectos que permitirán durante el año 2018, la ejecución de obras</w:t>
      </w:r>
      <w:r w:rsidR="0020028D">
        <w:rPr>
          <w:rFonts w:ascii="Arial" w:hAnsi="Arial" w:cs="Arial"/>
          <w:bCs/>
          <w:sz w:val="20"/>
          <w:szCs w:val="20"/>
          <w:lang w:eastAsia="es-CR"/>
        </w:rPr>
        <w:t xml:space="preserve"> en</w:t>
      </w:r>
      <w:r w:rsidRPr="00666328">
        <w:rPr>
          <w:rFonts w:ascii="Arial" w:hAnsi="Arial" w:cs="Arial"/>
          <w:bCs/>
          <w:sz w:val="20"/>
          <w:szCs w:val="20"/>
          <w:lang w:eastAsia="es-CR"/>
        </w:rPr>
        <w:t xml:space="preserve"> Guararí, Blële, Premio Nobel, Los Lir</w:t>
      </w:r>
      <w:r w:rsidR="00C7082B">
        <w:rPr>
          <w:rFonts w:ascii="Arial" w:hAnsi="Arial" w:cs="Arial"/>
          <w:bCs/>
          <w:sz w:val="20"/>
          <w:szCs w:val="20"/>
          <w:lang w:eastAsia="es-CR"/>
        </w:rPr>
        <w:t>ios, Nazareno, Juan Rafael Mora</w:t>
      </w:r>
      <w:r w:rsidR="0020028D">
        <w:rPr>
          <w:rFonts w:ascii="Arial" w:hAnsi="Arial" w:cs="Arial"/>
          <w:bCs/>
          <w:sz w:val="20"/>
          <w:szCs w:val="20"/>
          <w:lang w:eastAsia="es-CR"/>
        </w:rPr>
        <w:t>.</w:t>
      </w:r>
    </w:p>
    <w:p w:rsidR="00666328" w:rsidRPr="00666328" w:rsidRDefault="00666328" w:rsidP="00666328">
      <w:pPr>
        <w:pStyle w:val="Prrafodelista"/>
        <w:spacing w:after="0" w:line="240" w:lineRule="auto"/>
        <w:jc w:val="both"/>
        <w:rPr>
          <w:rFonts w:ascii="Arial" w:hAnsi="Arial" w:cs="Arial"/>
          <w:bCs/>
          <w:sz w:val="20"/>
          <w:szCs w:val="20"/>
          <w:lang w:eastAsia="es-CR"/>
        </w:rPr>
      </w:pPr>
    </w:p>
    <w:p w:rsidR="00666328" w:rsidRPr="00666328" w:rsidRDefault="00C7082B" w:rsidP="00666328">
      <w:pPr>
        <w:numPr>
          <w:ilvl w:val="0"/>
          <w:numId w:val="27"/>
        </w:numPr>
        <w:spacing w:after="0" w:line="240" w:lineRule="auto"/>
        <w:jc w:val="both"/>
        <w:rPr>
          <w:rFonts w:ascii="Arial" w:hAnsi="Arial" w:cs="Arial"/>
          <w:bCs/>
          <w:sz w:val="20"/>
          <w:szCs w:val="20"/>
          <w:lang w:eastAsia="es-CR"/>
        </w:rPr>
      </w:pPr>
      <w:r>
        <w:rPr>
          <w:rFonts w:ascii="Arial" w:hAnsi="Arial" w:cs="Arial"/>
          <w:bCs/>
          <w:sz w:val="20"/>
          <w:szCs w:val="20"/>
          <w:lang w:eastAsia="es-CR"/>
        </w:rPr>
        <w:t>Las jefaturas deben ela</w:t>
      </w:r>
      <w:r w:rsidR="00666328" w:rsidRPr="00666328">
        <w:rPr>
          <w:rFonts w:ascii="Arial" w:hAnsi="Arial" w:cs="Arial"/>
          <w:bCs/>
          <w:sz w:val="20"/>
          <w:szCs w:val="20"/>
          <w:lang w:eastAsia="es-CR"/>
        </w:rPr>
        <w:t>bor</w:t>
      </w:r>
      <w:r>
        <w:rPr>
          <w:rFonts w:ascii="Arial" w:hAnsi="Arial" w:cs="Arial"/>
          <w:bCs/>
          <w:sz w:val="20"/>
          <w:szCs w:val="20"/>
          <w:lang w:eastAsia="es-CR"/>
        </w:rPr>
        <w:t xml:space="preserve">ar </w:t>
      </w:r>
      <w:r w:rsidR="00666328" w:rsidRPr="00666328">
        <w:rPr>
          <w:rFonts w:ascii="Arial" w:hAnsi="Arial" w:cs="Arial"/>
          <w:bCs/>
          <w:sz w:val="20"/>
          <w:szCs w:val="20"/>
          <w:lang w:eastAsia="es-CR"/>
        </w:rPr>
        <w:t>un informe mensual, para la Gerencia General</w:t>
      </w:r>
      <w:r>
        <w:rPr>
          <w:rFonts w:ascii="Arial" w:hAnsi="Arial" w:cs="Arial"/>
          <w:bCs/>
          <w:sz w:val="20"/>
          <w:szCs w:val="20"/>
          <w:lang w:eastAsia="es-CR"/>
        </w:rPr>
        <w:t xml:space="preserve"> y remitirlo al Consejo Técnico</w:t>
      </w:r>
      <w:r w:rsidR="0020028D">
        <w:rPr>
          <w:rFonts w:ascii="Arial" w:hAnsi="Arial" w:cs="Arial"/>
          <w:bCs/>
          <w:sz w:val="20"/>
          <w:szCs w:val="20"/>
          <w:lang w:eastAsia="es-CR"/>
        </w:rPr>
        <w:t xml:space="preserve"> Consultivo</w:t>
      </w:r>
      <w:r w:rsidR="00666328" w:rsidRPr="00666328">
        <w:rPr>
          <w:rFonts w:ascii="Arial" w:hAnsi="Arial" w:cs="Arial"/>
          <w:bCs/>
          <w:sz w:val="20"/>
          <w:szCs w:val="20"/>
          <w:lang w:eastAsia="es-CR"/>
        </w:rPr>
        <w:t xml:space="preserve">, en </w:t>
      </w:r>
      <w:r>
        <w:rPr>
          <w:rFonts w:ascii="Arial" w:hAnsi="Arial" w:cs="Arial"/>
          <w:bCs/>
          <w:sz w:val="20"/>
          <w:szCs w:val="20"/>
          <w:lang w:eastAsia="es-CR"/>
        </w:rPr>
        <w:t>el</w:t>
      </w:r>
      <w:r w:rsidR="00666328" w:rsidRPr="00666328">
        <w:rPr>
          <w:rFonts w:ascii="Arial" w:hAnsi="Arial" w:cs="Arial"/>
          <w:bCs/>
          <w:sz w:val="20"/>
          <w:szCs w:val="20"/>
          <w:lang w:eastAsia="es-CR"/>
        </w:rPr>
        <w:t xml:space="preserve"> formato establecido, </w:t>
      </w:r>
      <w:r w:rsidR="0020028D">
        <w:rPr>
          <w:rFonts w:ascii="Arial" w:hAnsi="Arial" w:cs="Arial"/>
          <w:bCs/>
          <w:sz w:val="20"/>
          <w:szCs w:val="20"/>
          <w:lang w:eastAsia="es-CR"/>
        </w:rPr>
        <w:t>que i</w:t>
      </w:r>
      <w:r w:rsidR="00666328" w:rsidRPr="00666328">
        <w:rPr>
          <w:rFonts w:ascii="Arial" w:hAnsi="Arial" w:cs="Arial"/>
          <w:bCs/>
          <w:sz w:val="20"/>
          <w:szCs w:val="20"/>
          <w:lang w:eastAsia="es-CR"/>
        </w:rPr>
        <w:t xml:space="preserve">dentifique lo programado, ejecutado, aspectos que afectaron la ejecución, acciones correctivas y de mejora, </w:t>
      </w:r>
      <w:r w:rsidR="0020028D">
        <w:rPr>
          <w:rFonts w:ascii="Arial" w:hAnsi="Arial" w:cs="Arial"/>
          <w:bCs/>
          <w:sz w:val="20"/>
          <w:szCs w:val="20"/>
          <w:lang w:eastAsia="es-CR"/>
        </w:rPr>
        <w:t xml:space="preserve">para </w:t>
      </w:r>
      <w:r w:rsidR="00666328" w:rsidRPr="00666328">
        <w:rPr>
          <w:rFonts w:ascii="Arial" w:hAnsi="Arial" w:cs="Arial"/>
          <w:bCs/>
          <w:sz w:val="20"/>
          <w:szCs w:val="20"/>
          <w:lang w:eastAsia="es-CR"/>
        </w:rPr>
        <w:t xml:space="preserve"> facilit</w:t>
      </w:r>
      <w:r w:rsidR="0020028D">
        <w:rPr>
          <w:rFonts w:ascii="Arial" w:hAnsi="Arial" w:cs="Arial"/>
          <w:bCs/>
          <w:sz w:val="20"/>
          <w:szCs w:val="20"/>
          <w:lang w:eastAsia="es-CR"/>
        </w:rPr>
        <w:t>ar</w:t>
      </w:r>
      <w:r w:rsidR="00666328" w:rsidRPr="00666328">
        <w:rPr>
          <w:rFonts w:ascii="Arial" w:hAnsi="Arial" w:cs="Arial"/>
          <w:bCs/>
          <w:sz w:val="20"/>
          <w:szCs w:val="20"/>
          <w:lang w:eastAsia="es-CR"/>
        </w:rPr>
        <w:t xml:space="preserve"> la toma de decisiones en forma oportuna.</w:t>
      </w:r>
    </w:p>
    <w:p w:rsidR="00666328" w:rsidRPr="00666328" w:rsidRDefault="00666328" w:rsidP="00666328">
      <w:pPr>
        <w:spacing w:after="0" w:line="240" w:lineRule="auto"/>
        <w:ind w:left="719"/>
        <w:jc w:val="both"/>
        <w:rPr>
          <w:rFonts w:ascii="Arial" w:hAnsi="Arial" w:cs="Arial"/>
          <w:bCs/>
          <w:sz w:val="20"/>
          <w:szCs w:val="20"/>
          <w:lang w:eastAsia="es-CR"/>
        </w:rPr>
      </w:pPr>
    </w:p>
    <w:p w:rsidR="00666328" w:rsidRPr="00666328" w:rsidRDefault="00C7082B" w:rsidP="00666328">
      <w:pPr>
        <w:numPr>
          <w:ilvl w:val="0"/>
          <w:numId w:val="27"/>
        </w:numPr>
        <w:spacing w:after="0" w:line="240" w:lineRule="auto"/>
        <w:jc w:val="both"/>
        <w:rPr>
          <w:rFonts w:ascii="Arial" w:hAnsi="Arial" w:cs="Arial"/>
          <w:bCs/>
          <w:sz w:val="20"/>
          <w:szCs w:val="20"/>
          <w:lang w:eastAsia="es-CR"/>
        </w:rPr>
      </w:pPr>
      <w:r>
        <w:rPr>
          <w:rFonts w:ascii="Arial" w:hAnsi="Arial" w:cs="Arial"/>
          <w:bCs/>
          <w:sz w:val="20"/>
          <w:szCs w:val="20"/>
          <w:lang w:eastAsia="es-CR"/>
        </w:rPr>
        <w:t>El</w:t>
      </w:r>
      <w:r w:rsidR="00666328" w:rsidRPr="00666328">
        <w:rPr>
          <w:rFonts w:ascii="Arial" w:hAnsi="Arial" w:cs="Arial"/>
          <w:bCs/>
          <w:sz w:val="20"/>
          <w:szCs w:val="20"/>
          <w:lang w:eastAsia="es-CR"/>
        </w:rPr>
        <w:t>abor</w:t>
      </w:r>
      <w:r>
        <w:rPr>
          <w:rFonts w:ascii="Arial" w:hAnsi="Arial" w:cs="Arial"/>
          <w:bCs/>
          <w:sz w:val="20"/>
          <w:szCs w:val="20"/>
          <w:lang w:eastAsia="es-CR"/>
        </w:rPr>
        <w:t>ar</w:t>
      </w:r>
      <w:r w:rsidR="00675825">
        <w:rPr>
          <w:rFonts w:ascii="Arial" w:hAnsi="Arial" w:cs="Arial"/>
          <w:bCs/>
          <w:sz w:val="20"/>
          <w:szCs w:val="20"/>
          <w:lang w:eastAsia="es-CR"/>
        </w:rPr>
        <w:t xml:space="preserve">, analizar y </w:t>
      </w:r>
      <w:r w:rsidR="00666328" w:rsidRPr="00666328">
        <w:rPr>
          <w:rFonts w:ascii="Arial" w:hAnsi="Arial" w:cs="Arial"/>
          <w:bCs/>
          <w:sz w:val="20"/>
          <w:szCs w:val="20"/>
          <w:lang w:eastAsia="es-CR"/>
        </w:rPr>
        <w:t>mejor</w:t>
      </w:r>
      <w:r w:rsidR="00675825">
        <w:rPr>
          <w:rFonts w:ascii="Arial" w:hAnsi="Arial" w:cs="Arial"/>
          <w:bCs/>
          <w:sz w:val="20"/>
          <w:szCs w:val="20"/>
          <w:lang w:eastAsia="es-CR"/>
        </w:rPr>
        <w:t>ar</w:t>
      </w:r>
      <w:r w:rsidR="00666328" w:rsidRPr="00666328">
        <w:rPr>
          <w:rFonts w:ascii="Arial" w:hAnsi="Arial" w:cs="Arial"/>
          <w:bCs/>
          <w:sz w:val="20"/>
          <w:szCs w:val="20"/>
          <w:lang w:eastAsia="es-CR"/>
        </w:rPr>
        <w:t xml:space="preserve"> los controles, que permitan en forma más precisa conocer los tiempos requeridos por factores endógenos y exógenos, para que contribuya a mejorar la programación de las metas.  </w:t>
      </w:r>
    </w:p>
    <w:p w:rsidR="00666328" w:rsidRPr="00666328" w:rsidRDefault="00666328" w:rsidP="00666328">
      <w:pPr>
        <w:pStyle w:val="Prrafodelista"/>
        <w:spacing w:after="0" w:line="240" w:lineRule="auto"/>
        <w:jc w:val="both"/>
        <w:rPr>
          <w:rFonts w:ascii="Arial" w:hAnsi="Arial" w:cs="Arial"/>
          <w:bCs/>
          <w:sz w:val="20"/>
          <w:szCs w:val="20"/>
          <w:lang w:eastAsia="es-CR"/>
        </w:rPr>
      </w:pPr>
    </w:p>
    <w:p w:rsidR="00675825" w:rsidRDefault="00675825" w:rsidP="00666328">
      <w:pPr>
        <w:numPr>
          <w:ilvl w:val="0"/>
          <w:numId w:val="27"/>
        </w:numPr>
        <w:spacing w:after="0" w:line="240" w:lineRule="auto"/>
        <w:jc w:val="both"/>
        <w:rPr>
          <w:rFonts w:ascii="Arial" w:hAnsi="Arial" w:cs="Arial"/>
          <w:bCs/>
          <w:sz w:val="20"/>
          <w:szCs w:val="20"/>
          <w:lang w:eastAsia="es-CR"/>
        </w:rPr>
      </w:pPr>
      <w:r>
        <w:rPr>
          <w:rFonts w:ascii="Arial" w:hAnsi="Arial" w:cs="Arial"/>
          <w:bCs/>
          <w:sz w:val="20"/>
          <w:szCs w:val="20"/>
          <w:lang w:eastAsia="es-CR"/>
        </w:rPr>
        <w:t xml:space="preserve">Las jefaturas deben </w:t>
      </w:r>
      <w:r w:rsidR="00AC7CBE">
        <w:rPr>
          <w:rFonts w:ascii="Arial" w:hAnsi="Arial" w:cs="Arial"/>
          <w:bCs/>
          <w:sz w:val="20"/>
          <w:szCs w:val="20"/>
          <w:lang w:eastAsia="es-CR"/>
        </w:rPr>
        <w:t xml:space="preserve">en forma continua </w:t>
      </w:r>
      <w:r>
        <w:rPr>
          <w:rFonts w:ascii="Arial" w:hAnsi="Arial" w:cs="Arial"/>
          <w:bCs/>
          <w:sz w:val="20"/>
          <w:szCs w:val="20"/>
          <w:lang w:eastAsia="es-CR"/>
        </w:rPr>
        <w:t xml:space="preserve">revisar, analizar y mejorar los procesos, </w:t>
      </w:r>
      <w:r w:rsidRPr="00666328">
        <w:rPr>
          <w:rFonts w:ascii="Arial" w:hAnsi="Arial" w:cs="Arial"/>
          <w:bCs/>
          <w:sz w:val="20"/>
          <w:szCs w:val="20"/>
          <w:lang w:eastAsia="es-CR"/>
        </w:rPr>
        <w:t xml:space="preserve">con la finalidad de </w:t>
      </w:r>
      <w:r w:rsidR="00AC7CBE">
        <w:rPr>
          <w:rFonts w:ascii="Arial" w:hAnsi="Arial" w:cs="Arial"/>
          <w:bCs/>
          <w:sz w:val="20"/>
          <w:szCs w:val="20"/>
          <w:lang w:eastAsia="es-CR"/>
        </w:rPr>
        <w:t xml:space="preserve">brindar un </w:t>
      </w:r>
      <w:r w:rsidRPr="00666328">
        <w:rPr>
          <w:rFonts w:ascii="Arial" w:hAnsi="Arial" w:cs="Arial"/>
          <w:bCs/>
          <w:sz w:val="20"/>
          <w:szCs w:val="20"/>
          <w:lang w:eastAsia="es-CR"/>
        </w:rPr>
        <w:t>mejor servicio al usuario</w:t>
      </w:r>
      <w:r>
        <w:rPr>
          <w:rFonts w:ascii="Arial" w:hAnsi="Arial" w:cs="Arial"/>
          <w:bCs/>
          <w:sz w:val="20"/>
          <w:szCs w:val="20"/>
          <w:lang w:eastAsia="es-CR"/>
        </w:rPr>
        <w:t>.</w:t>
      </w:r>
    </w:p>
    <w:p w:rsidR="00675825" w:rsidRDefault="00675825" w:rsidP="00675825">
      <w:pPr>
        <w:pStyle w:val="Prrafodelista"/>
        <w:rPr>
          <w:rFonts w:ascii="Arial" w:hAnsi="Arial" w:cs="Arial"/>
          <w:bCs/>
          <w:sz w:val="20"/>
          <w:szCs w:val="20"/>
          <w:lang w:eastAsia="es-CR"/>
        </w:rPr>
      </w:pPr>
    </w:p>
    <w:p w:rsidR="00666328" w:rsidRPr="00666328" w:rsidRDefault="00666328" w:rsidP="00666328">
      <w:pPr>
        <w:spacing w:after="0" w:line="240" w:lineRule="auto"/>
        <w:ind w:left="359"/>
        <w:jc w:val="both"/>
        <w:rPr>
          <w:rFonts w:ascii="Arial" w:hAnsi="Arial" w:cs="Arial"/>
          <w:bCs/>
          <w:iCs/>
          <w:color w:val="FF0000"/>
          <w:sz w:val="20"/>
          <w:szCs w:val="20"/>
          <w:lang w:val="es-ES"/>
        </w:rPr>
      </w:pPr>
      <w:r w:rsidRPr="00666328">
        <w:rPr>
          <w:rFonts w:ascii="Arial" w:hAnsi="Arial" w:cs="Arial"/>
          <w:bCs/>
          <w:color w:val="FF0000"/>
          <w:sz w:val="20"/>
          <w:szCs w:val="20"/>
          <w:lang w:eastAsia="es-CR"/>
        </w:rPr>
        <w:t xml:space="preserve">    </w:t>
      </w:r>
    </w:p>
    <w:p w:rsidR="00666328" w:rsidRDefault="00666328">
      <w:pPr>
        <w:rPr>
          <w:rFonts w:ascii="Arial" w:hAnsi="Arial" w:cs="Arial"/>
          <w:color w:val="FF0000"/>
        </w:rPr>
      </w:pPr>
      <w:r>
        <w:rPr>
          <w:rFonts w:ascii="Arial" w:hAnsi="Arial" w:cs="Arial"/>
          <w:color w:val="FF0000"/>
        </w:rPr>
        <w:br w:type="page"/>
      </w:r>
    </w:p>
    <w:p w:rsidR="00666328" w:rsidRDefault="00666328" w:rsidP="00666328">
      <w:pPr>
        <w:pStyle w:val="Prrafodelista"/>
        <w:rPr>
          <w:rFonts w:ascii="Arial" w:hAnsi="Arial" w:cs="Arial"/>
          <w:color w:val="FF0000"/>
        </w:rPr>
      </w:pPr>
    </w:p>
    <w:p w:rsidR="00666328" w:rsidRPr="00666328" w:rsidRDefault="00666328" w:rsidP="00666328">
      <w:pPr>
        <w:pStyle w:val="Ttulo1"/>
        <w:keepLines w:val="0"/>
        <w:numPr>
          <w:ilvl w:val="0"/>
          <w:numId w:val="1"/>
        </w:numPr>
        <w:spacing w:after="60" w:line="240" w:lineRule="auto"/>
        <w:jc w:val="both"/>
        <w:rPr>
          <w:rFonts w:ascii="Arial" w:eastAsia="Times New Roman" w:hAnsi="Arial" w:cs="Arial"/>
          <w:b/>
          <w:bCs/>
          <w:color w:val="auto"/>
          <w:kern w:val="32"/>
          <w:sz w:val="20"/>
          <w:szCs w:val="20"/>
          <w:lang w:eastAsia="es-ES"/>
        </w:rPr>
      </w:pPr>
      <w:bookmarkStart w:id="18" w:name="_Toc482965772"/>
      <w:r w:rsidRPr="00666328">
        <w:rPr>
          <w:rFonts w:ascii="Arial" w:eastAsia="Times New Roman" w:hAnsi="Arial" w:cs="Arial"/>
          <w:b/>
          <w:bCs/>
          <w:color w:val="auto"/>
          <w:kern w:val="32"/>
          <w:sz w:val="20"/>
          <w:szCs w:val="20"/>
          <w:lang w:eastAsia="es-ES"/>
        </w:rPr>
        <w:t>INSUMOS PROCESADOS</w:t>
      </w:r>
      <w:bookmarkEnd w:id="18"/>
    </w:p>
    <w:p w:rsidR="00666328" w:rsidRPr="00666328" w:rsidRDefault="00666328" w:rsidP="00666328">
      <w:pPr>
        <w:pStyle w:val="Textoindependiente"/>
        <w:spacing w:after="0" w:line="240" w:lineRule="auto"/>
        <w:rPr>
          <w:rFonts w:ascii="Arial" w:hAnsi="Arial" w:cs="Arial"/>
          <w:color w:val="FF0000"/>
          <w:sz w:val="20"/>
          <w:szCs w:val="20"/>
        </w:rPr>
      </w:pPr>
    </w:p>
    <w:p w:rsidR="00666328" w:rsidRPr="00666328" w:rsidRDefault="00666328" w:rsidP="00666328">
      <w:pPr>
        <w:pStyle w:val="Textoindependiente"/>
        <w:spacing w:after="0" w:line="240" w:lineRule="auto"/>
        <w:rPr>
          <w:rFonts w:ascii="Arial" w:hAnsi="Arial" w:cs="Arial"/>
          <w:sz w:val="20"/>
          <w:szCs w:val="20"/>
        </w:rPr>
      </w:pPr>
      <w:r w:rsidRPr="00666328">
        <w:rPr>
          <w:rFonts w:ascii="Arial" w:hAnsi="Arial" w:cs="Arial"/>
          <w:sz w:val="20"/>
          <w:szCs w:val="20"/>
        </w:rPr>
        <w:t>La información de respaldo para el presente informe es la siguiente:</w:t>
      </w:r>
    </w:p>
    <w:p w:rsidR="00666328" w:rsidRPr="00666328" w:rsidRDefault="00666328" w:rsidP="00666328">
      <w:pPr>
        <w:pStyle w:val="Textoindependiente"/>
        <w:spacing w:after="0" w:line="240" w:lineRule="auto"/>
        <w:rPr>
          <w:rFonts w:ascii="Arial" w:hAnsi="Arial" w:cs="Arial"/>
          <w:sz w:val="20"/>
          <w:szCs w:val="20"/>
        </w:rPr>
      </w:pPr>
    </w:p>
    <w:p w:rsidR="00666328" w:rsidRPr="00666328" w:rsidRDefault="00666328" w:rsidP="00666328">
      <w:pPr>
        <w:pStyle w:val="Textoindependiente"/>
        <w:spacing w:after="0" w:line="240" w:lineRule="auto"/>
        <w:rPr>
          <w:rFonts w:ascii="Arial" w:hAnsi="Arial" w:cs="Arial"/>
          <w:sz w:val="20"/>
          <w:szCs w:val="20"/>
        </w:rPr>
      </w:pPr>
    </w:p>
    <w:p w:rsidR="00666328" w:rsidRPr="00666328" w:rsidRDefault="00666328" w:rsidP="00666328">
      <w:pPr>
        <w:pStyle w:val="Textoindependiente"/>
        <w:spacing w:after="0" w:line="240" w:lineRule="auto"/>
        <w:jc w:val="center"/>
        <w:rPr>
          <w:rFonts w:ascii="Arial" w:hAnsi="Arial" w:cs="Arial"/>
          <w:b/>
          <w:sz w:val="20"/>
          <w:szCs w:val="20"/>
        </w:rPr>
      </w:pPr>
      <w:r w:rsidRPr="00666328">
        <w:rPr>
          <w:rFonts w:ascii="Arial" w:hAnsi="Arial" w:cs="Arial"/>
          <w:b/>
          <w:sz w:val="20"/>
          <w:szCs w:val="20"/>
        </w:rPr>
        <w:t>Tabla 40</w:t>
      </w:r>
    </w:p>
    <w:p w:rsidR="00666328" w:rsidRPr="00666328" w:rsidRDefault="00666328" w:rsidP="00666328">
      <w:pPr>
        <w:pStyle w:val="Textoindependiente"/>
        <w:spacing w:after="0" w:line="240" w:lineRule="auto"/>
        <w:jc w:val="center"/>
        <w:rPr>
          <w:rFonts w:ascii="Arial" w:hAnsi="Arial" w:cs="Arial"/>
          <w:sz w:val="20"/>
          <w:szCs w:val="20"/>
        </w:rPr>
      </w:pPr>
      <w:r w:rsidRPr="00666328">
        <w:rPr>
          <w:rFonts w:ascii="Arial" w:hAnsi="Arial" w:cs="Arial"/>
          <w:b/>
          <w:sz w:val="20"/>
          <w:szCs w:val="20"/>
        </w:rPr>
        <w:t>Información de Respaldo de las Áreas</w:t>
      </w:r>
    </w:p>
    <w:tbl>
      <w:tblPr>
        <w:tblW w:w="10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6"/>
        <w:gridCol w:w="6181"/>
      </w:tblGrid>
      <w:tr w:rsidR="00666328" w:rsidRPr="00666328" w:rsidTr="00A00F2A">
        <w:trPr>
          <w:trHeight w:val="255"/>
        </w:trPr>
        <w:tc>
          <w:tcPr>
            <w:tcW w:w="4016" w:type="dxa"/>
            <w:shd w:val="clear" w:color="auto" w:fill="auto"/>
          </w:tcPr>
          <w:p w:rsidR="00666328" w:rsidRPr="00666328" w:rsidRDefault="00666328" w:rsidP="00666328">
            <w:pPr>
              <w:pStyle w:val="Textoindependiente"/>
              <w:spacing w:after="0" w:line="240" w:lineRule="auto"/>
              <w:jc w:val="center"/>
              <w:rPr>
                <w:rFonts w:ascii="Arial" w:hAnsi="Arial" w:cs="Arial"/>
                <w:b/>
                <w:bCs/>
                <w:iCs/>
                <w:sz w:val="20"/>
                <w:szCs w:val="20"/>
              </w:rPr>
            </w:pPr>
            <w:r w:rsidRPr="00666328">
              <w:rPr>
                <w:rFonts w:ascii="Arial" w:hAnsi="Arial" w:cs="Arial"/>
                <w:b/>
                <w:bCs/>
                <w:iCs/>
                <w:sz w:val="20"/>
                <w:szCs w:val="20"/>
              </w:rPr>
              <w:t>Dependencia</w:t>
            </w:r>
          </w:p>
        </w:tc>
        <w:tc>
          <w:tcPr>
            <w:tcW w:w="6181" w:type="dxa"/>
            <w:shd w:val="clear" w:color="auto" w:fill="auto"/>
          </w:tcPr>
          <w:p w:rsidR="00666328" w:rsidRPr="00666328" w:rsidRDefault="00666328" w:rsidP="00666328">
            <w:pPr>
              <w:pStyle w:val="Textoindependiente"/>
              <w:spacing w:after="0" w:line="240" w:lineRule="auto"/>
              <w:jc w:val="center"/>
              <w:rPr>
                <w:rFonts w:ascii="Arial" w:hAnsi="Arial" w:cs="Arial"/>
                <w:b/>
                <w:bCs/>
                <w:iCs/>
                <w:sz w:val="20"/>
                <w:szCs w:val="20"/>
              </w:rPr>
            </w:pPr>
            <w:r w:rsidRPr="00666328">
              <w:rPr>
                <w:rFonts w:ascii="Arial" w:hAnsi="Arial" w:cs="Arial"/>
                <w:b/>
                <w:bCs/>
                <w:iCs/>
                <w:sz w:val="20"/>
                <w:szCs w:val="20"/>
              </w:rPr>
              <w:t>Oficio</w:t>
            </w:r>
          </w:p>
          <w:p w:rsidR="00666328" w:rsidRPr="00666328" w:rsidRDefault="00666328" w:rsidP="00666328">
            <w:pPr>
              <w:pStyle w:val="Textoindependiente"/>
              <w:spacing w:after="0" w:line="240" w:lineRule="auto"/>
              <w:jc w:val="center"/>
              <w:rPr>
                <w:rFonts w:ascii="Arial" w:hAnsi="Arial" w:cs="Arial"/>
                <w:b/>
                <w:bCs/>
                <w:iCs/>
                <w:sz w:val="20"/>
                <w:szCs w:val="20"/>
              </w:rPr>
            </w:pPr>
          </w:p>
        </w:tc>
      </w:tr>
      <w:tr w:rsidR="00666328" w:rsidRPr="00666328" w:rsidTr="00A00F2A">
        <w:trPr>
          <w:trHeight w:val="255"/>
        </w:trPr>
        <w:tc>
          <w:tcPr>
            <w:tcW w:w="4016" w:type="dxa"/>
            <w:shd w:val="clear" w:color="auto" w:fill="auto"/>
          </w:tcPr>
          <w:p w:rsidR="00666328" w:rsidRPr="00666328" w:rsidRDefault="00666328" w:rsidP="00666328">
            <w:pPr>
              <w:pStyle w:val="Textoindependiente"/>
              <w:tabs>
                <w:tab w:val="left" w:pos="1423"/>
              </w:tabs>
              <w:spacing w:after="0" w:line="240" w:lineRule="auto"/>
              <w:rPr>
                <w:rFonts w:ascii="Arial" w:hAnsi="Arial" w:cs="Arial"/>
                <w:iCs/>
                <w:sz w:val="20"/>
                <w:szCs w:val="20"/>
              </w:rPr>
            </w:pPr>
            <w:r w:rsidRPr="00666328">
              <w:rPr>
                <w:rFonts w:ascii="Arial" w:hAnsi="Arial" w:cs="Arial"/>
                <w:iCs/>
                <w:sz w:val="20"/>
                <w:szCs w:val="20"/>
              </w:rPr>
              <w:t>Departamento Gestión de Programas de Financiamiento</w:t>
            </w:r>
            <w:r w:rsidRPr="00666328">
              <w:rPr>
                <w:rFonts w:ascii="Arial" w:hAnsi="Arial" w:cs="Arial"/>
                <w:iCs/>
                <w:sz w:val="20"/>
                <w:szCs w:val="20"/>
              </w:rPr>
              <w:tab/>
            </w:r>
          </w:p>
          <w:p w:rsidR="00666328" w:rsidRPr="00666328" w:rsidRDefault="00666328" w:rsidP="00666328">
            <w:pPr>
              <w:pStyle w:val="Textoindependiente"/>
              <w:tabs>
                <w:tab w:val="left" w:pos="1423"/>
              </w:tabs>
              <w:spacing w:after="0" w:line="240" w:lineRule="auto"/>
              <w:rPr>
                <w:rFonts w:ascii="Arial" w:hAnsi="Arial" w:cs="Arial"/>
                <w:iCs/>
                <w:sz w:val="20"/>
                <w:szCs w:val="20"/>
              </w:rPr>
            </w:pPr>
          </w:p>
        </w:tc>
        <w:tc>
          <w:tcPr>
            <w:tcW w:w="6181" w:type="dxa"/>
            <w:shd w:val="clear" w:color="auto" w:fill="auto"/>
          </w:tcPr>
          <w:p w:rsidR="00666328" w:rsidRPr="00666328" w:rsidRDefault="00666328" w:rsidP="00666328">
            <w:pPr>
              <w:spacing w:after="0" w:line="240" w:lineRule="auto"/>
              <w:ind w:left="2124" w:hanging="2124"/>
              <w:jc w:val="both"/>
              <w:rPr>
                <w:rFonts w:ascii="Arial" w:hAnsi="Arial" w:cs="Arial"/>
                <w:sz w:val="20"/>
                <w:szCs w:val="20"/>
                <w:highlight w:val="yellow"/>
              </w:rPr>
            </w:pPr>
            <w:r w:rsidRPr="00666328">
              <w:rPr>
                <w:rFonts w:ascii="Arial" w:hAnsi="Arial" w:cs="Arial"/>
                <w:sz w:val="20"/>
                <w:szCs w:val="20"/>
              </w:rPr>
              <w:t>DGPF-0019-2018, de fecha 30 de enero 2018.</w:t>
            </w:r>
          </w:p>
        </w:tc>
      </w:tr>
      <w:tr w:rsidR="00666328" w:rsidRPr="00666328" w:rsidTr="00A00F2A">
        <w:trPr>
          <w:trHeight w:val="255"/>
        </w:trPr>
        <w:tc>
          <w:tcPr>
            <w:tcW w:w="4016" w:type="dxa"/>
            <w:shd w:val="clear" w:color="auto" w:fill="auto"/>
            <w:vAlign w:val="center"/>
          </w:tcPr>
          <w:p w:rsidR="00666328" w:rsidRPr="00666328" w:rsidRDefault="00666328" w:rsidP="00666328">
            <w:pPr>
              <w:pStyle w:val="Textoindependiente"/>
              <w:spacing w:after="0" w:line="240" w:lineRule="auto"/>
              <w:rPr>
                <w:rFonts w:ascii="Arial" w:hAnsi="Arial" w:cs="Arial"/>
                <w:iCs/>
                <w:sz w:val="20"/>
                <w:szCs w:val="20"/>
              </w:rPr>
            </w:pPr>
            <w:r w:rsidRPr="00666328">
              <w:rPr>
                <w:rFonts w:ascii="Arial" w:hAnsi="Arial" w:cs="Arial"/>
                <w:iCs/>
                <w:sz w:val="20"/>
                <w:szCs w:val="20"/>
              </w:rPr>
              <w:t>Departamento de Programas Habitacionales</w:t>
            </w:r>
          </w:p>
          <w:p w:rsidR="00666328" w:rsidRPr="00666328" w:rsidRDefault="00666328" w:rsidP="00666328">
            <w:pPr>
              <w:pStyle w:val="Textoindependiente"/>
              <w:spacing w:after="0" w:line="240" w:lineRule="auto"/>
              <w:rPr>
                <w:rFonts w:ascii="Arial" w:hAnsi="Arial" w:cs="Arial"/>
                <w:iCs/>
                <w:sz w:val="20"/>
                <w:szCs w:val="20"/>
              </w:rPr>
            </w:pPr>
          </w:p>
        </w:tc>
        <w:tc>
          <w:tcPr>
            <w:tcW w:w="6181" w:type="dxa"/>
            <w:shd w:val="clear" w:color="auto" w:fill="auto"/>
            <w:vAlign w:val="center"/>
          </w:tcPr>
          <w:p w:rsidR="00666328" w:rsidRPr="00666328" w:rsidRDefault="00666328" w:rsidP="00666328">
            <w:pPr>
              <w:spacing w:after="0" w:line="240" w:lineRule="auto"/>
              <w:ind w:left="2124" w:hanging="2124"/>
              <w:rPr>
                <w:rFonts w:ascii="Arial" w:hAnsi="Arial" w:cs="Arial"/>
                <w:sz w:val="20"/>
                <w:szCs w:val="20"/>
              </w:rPr>
            </w:pPr>
            <w:r w:rsidRPr="00666328">
              <w:rPr>
                <w:rFonts w:ascii="Arial" w:hAnsi="Arial" w:cs="Arial"/>
                <w:sz w:val="20"/>
                <w:szCs w:val="20"/>
              </w:rPr>
              <w:t>DPH-032 -2018, de fecha 26 de enero 2018.</w:t>
            </w:r>
          </w:p>
          <w:p w:rsidR="00666328" w:rsidRPr="00666328" w:rsidRDefault="00666328" w:rsidP="00666328">
            <w:pPr>
              <w:spacing w:after="0" w:line="240" w:lineRule="auto"/>
              <w:ind w:left="2124" w:hanging="2124"/>
              <w:rPr>
                <w:rFonts w:ascii="Arial" w:hAnsi="Arial" w:cs="Arial"/>
                <w:sz w:val="20"/>
                <w:szCs w:val="20"/>
              </w:rPr>
            </w:pPr>
          </w:p>
        </w:tc>
      </w:tr>
      <w:tr w:rsidR="00666328" w:rsidRPr="00666328" w:rsidTr="00A00F2A">
        <w:trPr>
          <w:trHeight w:val="255"/>
        </w:trPr>
        <w:tc>
          <w:tcPr>
            <w:tcW w:w="4016" w:type="dxa"/>
            <w:shd w:val="clear" w:color="auto" w:fill="auto"/>
          </w:tcPr>
          <w:p w:rsidR="00666328" w:rsidRPr="00666328" w:rsidRDefault="00666328" w:rsidP="00666328">
            <w:pPr>
              <w:pStyle w:val="Textoindependiente"/>
              <w:spacing w:after="0" w:line="240" w:lineRule="auto"/>
              <w:rPr>
                <w:rFonts w:ascii="Arial" w:hAnsi="Arial" w:cs="Arial"/>
                <w:iCs/>
                <w:sz w:val="20"/>
                <w:szCs w:val="20"/>
              </w:rPr>
            </w:pPr>
            <w:r w:rsidRPr="00666328">
              <w:rPr>
                <w:rFonts w:ascii="Arial" w:hAnsi="Arial" w:cs="Arial"/>
                <w:iCs/>
                <w:sz w:val="20"/>
                <w:szCs w:val="20"/>
              </w:rPr>
              <w:t>Unidad de Asesoría y Capacitación</w:t>
            </w:r>
          </w:p>
          <w:p w:rsidR="00666328" w:rsidRPr="00666328" w:rsidRDefault="00666328" w:rsidP="00666328">
            <w:pPr>
              <w:pStyle w:val="Textoindependiente"/>
              <w:spacing w:after="0" w:line="240" w:lineRule="auto"/>
              <w:rPr>
                <w:rFonts w:ascii="Arial" w:hAnsi="Arial" w:cs="Arial"/>
                <w:iCs/>
                <w:sz w:val="20"/>
                <w:szCs w:val="20"/>
              </w:rPr>
            </w:pPr>
          </w:p>
        </w:tc>
        <w:tc>
          <w:tcPr>
            <w:tcW w:w="6181" w:type="dxa"/>
            <w:shd w:val="clear" w:color="auto" w:fill="auto"/>
          </w:tcPr>
          <w:p w:rsidR="00666328" w:rsidRPr="00666328" w:rsidRDefault="00666328" w:rsidP="00666328">
            <w:pPr>
              <w:spacing w:after="0" w:line="240" w:lineRule="auto"/>
              <w:ind w:left="2124" w:hanging="2124"/>
              <w:jc w:val="both"/>
              <w:rPr>
                <w:rFonts w:ascii="Arial" w:hAnsi="Arial" w:cs="Arial"/>
                <w:sz w:val="20"/>
                <w:szCs w:val="20"/>
              </w:rPr>
            </w:pPr>
            <w:r w:rsidRPr="00666328">
              <w:rPr>
                <w:rFonts w:ascii="Arial" w:hAnsi="Arial" w:cs="Arial"/>
                <w:sz w:val="20"/>
                <w:szCs w:val="20"/>
              </w:rPr>
              <w:t>DU-UAC-004-2018, de fecha 24 de enero 2018.</w:t>
            </w:r>
          </w:p>
        </w:tc>
      </w:tr>
      <w:tr w:rsidR="00666328" w:rsidRPr="00666328" w:rsidTr="00A00F2A">
        <w:trPr>
          <w:trHeight w:val="255"/>
        </w:trPr>
        <w:tc>
          <w:tcPr>
            <w:tcW w:w="4016" w:type="dxa"/>
            <w:shd w:val="clear" w:color="auto" w:fill="auto"/>
          </w:tcPr>
          <w:p w:rsidR="00666328" w:rsidRPr="00666328" w:rsidRDefault="00666328" w:rsidP="00666328">
            <w:pPr>
              <w:pStyle w:val="Textoindependiente"/>
              <w:spacing w:after="0" w:line="240" w:lineRule="auto"/>
              <w:rPr>
                <w:rFonts w:ascii="Arial" w:hAnsi="Arial" w:cs="Arial"/>
                <w:iCs/>
                <w:sz w:val="20"/>
                <w:szCs w:val="20"/>
              </w:rPr>
            </w:pPr>
            <w:r w:rsidRPr="00666328">
              <w:rPr>
                <w:rFonts w:ascii="Arial" w:hAnsi="Arial" w:cs="Arial"/>
                <w:iCs/>
                <w:sz w:val="20"/>
                <w:szCs w:val="20"/>
              </w:rPr>
              <w:t>Contraloría de Servicios</w:t>
            </w:r>
          </w:p>
          <w:p w:rsidR="00666328" w:rsidRPr="00666328" w:rsidRDefault="00666328" w:rsidP="00666328">
            <w:pPr>
              <w:pStyle w:val="Textoindependiente"/>
              <w:spacing w:after="0" w:line="240" w:lineRule="auto"/>
              <w:rPr>
                <w:rFonts w:ascii="Arial" w:hAnsi="Arial" w:cs="Arial"/>
                <w:iCs/>
                <w:sz w:val="20"/>
                <w:szCs w:val="20"/>
              </w:rPr>
            </w:pPr>
          </w:p>
        </w:tc>
        <w:tc>
          <w:tcPr>
            <w:tcW w:w="6181" w:type="dxa"/>
            <w:shd w:val="clear" w:color="auto" w:fill="auto"/>
          </w:tcPr>
          <w:p w:rsidR="00666328" w:rsidRPr="00666328" w:rsidRDefault="00666328" w:rsidP="00666328">
            <w:pPr>
              <w:spacing w:after="0" w:line="240" w:lineRule="auto"/>
              <w:ind w:left="2124" w:hanging="2124"/>
              <w:jc w:val="both"/>
              <w:rPr>
                <w:rFonts w:ascii="Arial" w:hAnsi="Arial" w:cs="Arial"/>
                <w:sz w:val="20"/>
                <w:szCs w:val="20"/>
              </w:rPr>
            </w:pPr>
            <w:r w:rsidRPr="00666328">
              <w:rPr>
                <w:rFonts w:ascii="Arial" w:hAnsi="Arial" w:cs="Arial"/>
                <w:sz w:val="20"/>
                <w:szCs w:val="20"/>
              </w:rPr>
              <w:t xml:space="preserve">GG-CS-002-2018, de fecha 22 de enero 2018.  </w:t>
            </w:r>
          </w:p>
          <w:p w:rsidR="00666328" w:rsidRPr="00666328" w:rsidRDefault="00666328" w:rsidP="00666328">
            <w:pPr>
              <w:spacing w:after="0" w:line="240" w:lineRule="auto"/>
              <w:ind w:left="2124" w:hanging="2124"/>
              <w:rPr>
                <w:rFonts w:ascii="Arial" w:hAnsi="Arial" w:cs="Arial"/>
                <w:sz w:val="20"/>
                <w:szCs w:val="20"/>
              </w:rPr>
            </w:pPr>
          </w:p>
        </w:tc>
      </w:tr>
      <w:tr w:rsidR="00666328" w:rsidRPr="00666328" w:rsidTr="00A00F2A">
        <w:trPr>
          <w:trHeight w:val="255"/>
        </w:trPr>
        <w:tc>
          <w:tcPr>
            <w:tcW w:w="4016" w:type="dxa"/>
            <w:shd w:val="clear" w:color="auto" w:fill="auto"/>
          </w:tcPr>
          <w:p w:rsidR="00666328" w:rsidRPr="00666328" w:rsidRDefault="00666328" w:rsidP="00666328">
            <w:pPr>
              <w:pStyle w:val="Textoindependiente"/>
              <w:spacing w:after="0" w:line="240" w:lineRule="auto"/>
              <w:rPr>
                <w:rFonts w:ascii="Arial" w:hAnsi="Arial" w:cs="Arial"/>
                <w:iCs/>
                <w:sz w:val="20"/>
                <w:szCs w:val="20"/>
              </w:rPr>
            </w:pPr>
            <w:r w:rsidRPr="00666328">
              <w:rPr>
                <w:rFonts w:ascii="Arial" w:hAnsi="Arial" w:cs="Arial"/>
                <w:iCs/>
                <w:sz w:val="20"/>
                <w:szCs w:val="20"/>
              </w:rPr>
              <w:t>Unidad de Fiscalización</w:t>
            </w:r>
          </w:p>
          <w:p w:rsidR="00666328" w:rsidRPr="00666328" w:rsidRDefault="00666328" w:rsidP="00666328">
            <w:pPr>
              <w:pStyle w:val="Textoindependiente"/>
              <w:spacing w:after="0" w:line="240" w:lineRule="auto"/>
              <w:rPr>
                <w:rFonts w:ascii="Arial" w:hAnsi="Arial" w:cs="Arial"/>
                <w:iCs/>
                <w:sz w:val="20"/>
                <w:szCs w:val="20"/>
              </w:rPr>
            </w:pPr>
            <w:r w:rsidRPr="00666328">
              <w:rPr>
                <w:rFonts w:ascii="Arial" w:hAnsi="Arial" w:cs="Arial"/>
                <w:iCs/>
                <w:sz w:val="20"/>
                <w:szCs w:val="20"/>
              </w:rPr>
              <w:t xml:space="preserve"> </w:t>
            </w:r>
          </w:p>
        </w:tc>
        <w:tc>
          <w:tcPr>
            <w:tcW w:w="6181" w:type="dxa"/>
            <w:shd w:val="clear" w:color="auto" w:fill="auto"/>
          </w:tcPr>
          <w:p w:rsidR="00666328" w:rsidRPr="00666328" w:rsidRDefault="00666328" w:rsidP="00666328">
            <w:pPr>
              <w:spacing w:after="0" w:line="240" w:lineRule="auto"/>
              <w:ind w:left="2124" w:hanging="2124"/>
              <w:rPr>
                <w:rFonts w:ascii="Arial" w:hAnsi="Arial" w:cs="Arial"/>
                <w:sz w:val="20"/>
                <w:szCs w:val="20"/>
              </w:rPr>
            </w:pPr>
            <w:r w:rsidRPr="00666328">
              <w:rPr>
                <w:rFonts w:ascii="Arial" w:hAnsi="Arial" w:cs="Arial"/>
                <w:sz w:val="20"/>
                <w:szCs w:val="20"/>
              </w:rPr>
              <w:t>DU-UFIS-001-2018, de fecha 16 de enero 2018.</w:t>
            </w:r>
          </w:p>
        </w:tc>
      </w:tr>
      <w:tr w:rsidR="00666328" w:rsidRPr="00666328" w:rsidTr="00A00F2A">
        <w:trPr>
          <w:trHeight w:val="255"/>
        </w:trPr>
        <w:tc>
          <w:tcPr>
            <w:tcW w:w="4016" w:type="dxa"/>
            <w:shd w:val="clear" w:color="auto" w:fill="auto"/>
          </w:tcPr>
          <w:p w:rsidR="00666328" w:rsidRPr="00666328" w:rsidRDefault="00666328" w:rsidP="00666328">
            <w:pPr>
              <w:pStyle w:val="Textoindependiente"/>
              <w:spacing w:after="0" w:line="240" w:lineRule="auto"/>
              <w:rPr>
                <w:rFonts w:ascii="Arial" w:hAnsi="Arial" w:cs="Arial"/>
                <w:iCs/>
                <w:sz w:val="20"/>
                <w:szCs w:val="20"/>
              </w:rPr>
            </w:pPr>
            <w:r w:rsidRPr="00666328">
              <w:rPr>
                <w:rFonts w:ascii="Arial" w:hAnsi="Arial" w:cs="Arial"/>
                <w:iCs/>
                <w:sz w:val="20"/>
                <w:szCs w:val="20"/>
              </w:rPr>
              <w:t>Unidad Fondo de Inversión en Bienes Inmuebles</w:t>
            </w:r>
          </w:p>
          <w:p w:rsidR="00666328" w:rsidRPr="00666328" w:rsidRDefault="00666328" w:rsidP="00666328">
            <w:pPr>
              <w:pStyle w:val="Textoindependiente"/>
              <w:spacing w:after="0" w:line="240" w:lineRule="auto"/>
              <w:rPr>
                <w:rFonts w:ascii="Arial" w:hAnsi="Arial" w:cs="Arial"/>
                <w:iCs/>
                <w:sz w:val="20"/>
                <w:szCs w:val="20"/>
              </w:rPr>
            </w:pPr>
          </w:p>
        </w:tc>
        <w:tc>
          <w:tcPr>
            <w:tcW w:w="6181" w:type="dxa"/>
            <w:shd w:val="clear" w:color="auto" w:fill="auto"/>
          </w:tcPr>
          <w:p w:rsidR="00666328" w:rsidRPr="00666328" w:rsidRDefault="00666328" w:rsidP="00666328">
            <w:pPr>
              <w:spacing w:after="0" w:line="240" w:lineRule="auto"/>
              <w:ind w:left="2124" w:hanging="2124"/>
              <w:rPr>
                <w:rFonts w:ascii="Arial" w:hAnsi="Arial" w:cs="Arial"/>
                <w:spacing w:val="-20"/>
                <w:position w:val="-2"/>
                <w:sz w:val="20"/>
                <w:szCs w:val="20"/>
              </w:rPr>
            </w:pPr>
            <w:r w:rsidRPr="00666328">
              <w:rPr>
                <w:rFonts w:ascii="Arial" w:hAnsi="Arial" w:cs="Arial"/>
                <w:sz w:val="20"/>
                <w:szCs w:val="20"/>
              </w:rPr>
              <w:t>DPH-UFIBI-0053 -2018, de fecha 15 de enero 2018.</w:t>
            </w:r>
          </w:p>
          <w:p w:rsidR="00666328" w:rsidRPr="00666328" w:rsidRDefault="00666328" w:rsidP="00666328">
            <w:pPr>
              <w:spacing w:after="0" w:line="240" w:lineRule="auto"/>
              <w:ind w:left="2124" w:hanging="2124"/>
              <w:jc w:val="both"/>
              <w:rPr>
                <w:rFonts w:ascii="Arial" w:hAnsi="Arial" w:cs="Arial"/>
                <w:sz w:val="20"/>
                <w:szCs w:val="20"/>
              </w:rPr>
            </w:pPr>
          </w:p>
        </w:tc>
      </w:tr>
      <w:tr w:rsidR="00666328" w:rsidRPr="00666328" w:rsidTr="00A00F2A">
        <w:trPr>
          <w:trHeight w:val="255"/>
        </w:trPr>
        <w:tc>
          <w:tcPr>
            <w:tcW w:w="4016" w:type="dxa"/>
            <w:shd w:val="clear" w:color="auto" w:fill="auto"/>
          </w:tcPr>
          <w:p w:rsidR="00666328" w:rsidRPr="00666328" w:rsidRDefault="00666328" w:rsidP="00666328">
            <w:pPr>
              <w:pStyle w:val="Textoindependiente"/>
              <w:spacing w:after="0" w:line="240" w:lineRule="auto"/>
              <w:rPr>
                <w:rFonts w:ascii="Arial" w:hAnsi="Arial" w:cs="Arial"/>
                <w:iCs/>
                <w:sz w:val="20"/>
                <w:szCs w:val="20"/>
              </w:rPr>
            </w:pPr>
            <w:r w:rsidRPr="00666328">
              <w:rPr>
                <w:rFonts w:ascii="Arial" w:hAnsi="Arial" w:cs="Arial"/>
                <w:iCs/>
                <w:sz w:val="20"/>
                <w:szCs w:val="20"/>
              </w:rPr>
              <w:t>Salud Ocupacional</w:t>
            </w:r>
          </w:p>
        </w:tc>
        <w:tc>
          <w:tcPr>
            <w:tcW w:w="6181" w:type="dxa"/>
            <w:shd w:val="clear" w:color="auto" w:fill="auto"/>
          </w:tcPr>
          <w:p w:rsidR="00666328" w:rsidRPr="00666328" w:rsidRDefault="00666328" w:rsidP="00666328">
            <w:pPr>
              <w:spacing w:after="0" w:line="240" w:lineRule="auto"/>
              <w:ind w:left="2124" w:hanging="2124"/>
              <w:jc w:val="both"/>
              <w:rPr>
                <w:rFonts w:ascii="Arial" w:hAnsi="Arial" w:cs="Arial"/>
                <w:sz w:val="20"/>
                <w:szCs w:val="20"/>
              </w:rPr>
            </w:pPr>
            <w:r w:rsidRPr="00666328">
              <w:rPr>
                <w:rFonts w:ascii="Arial" w:hAnsi="Arial" w:cs="Arial"/>
                <w:sz w:val="20"/>
                <w:szCs w:val="20"/>
              </w:rPr>
              <w:t xml:space="preserve">GG-SO-001-2018, de fecha 15 de enero 2018.  </w:t>
            </w:r>
          </w:p>
          <w:p w:rsidR="00666328" w:rsidRPr="00666328" w:rsidRDefault="00666328" w:rsidP="00666328">
            <w:pPr>
              <w:spacing w:after="0" w:line="240" w:lineRule="auto"/>
              <w:ind w:left="2124" w:hanging="2124"/>
              <w:jc w:val="both"/>
              <w:rPr>
                <w:rFonts w:ascii="Arial" w:hAnsi="Arial" w:cs="Arial"/>
                <w:sz w:val="20"/>
                <w:szCs w:val="20"/>
              </w:rPr>
            </w:pPr>
          </w:p>
        </w:tc>
      </w:tr>
      <w:tr w:rsidR="00666328" w:rsidRPr="00666328" w:rsidTr="00A00F2A">
        <w:trPr>
          <w:trHeight w:val="255"/>
        </w:trPr>
        <w:tc>
          <w:tcPr>
            <w:tcW w:w="4016" w:type="dxa"/>
            <w:shd w:val="clear" w:color="auto" w:fill="auto"/>
          </w:tcPr>
          <w:p w:rsidR="00666328" w:rsidRPr="00666328" w:rsidRDefault="00666328" w:rsidP="00666328">
            <w:pPr>
              <w:pStyle w:val="Textoindependiente"/>
              <w:tabs>
                <w:tab w:val="left" w:pos="1423"/>
              </w:tabs>
              <w:spacing w:after="0" w:line="240" w:lineRule="auto"/>
              <w:rPr>
                <w:rFonts w:ascii="Arial" w:hAnsi="Arial" w:cs="Arial"/>
                <w:iCs/>
                <w:sz w:val="20"/>
                <w:szCs w:val="20"/>
              </w:rPr>
            </w:pPr>
            <w:r w:rsidRPr="00666328">
              <w:rPr>
                <w:rFonts w:ascii="Arial" w:hAnsi="Arial" w:cs="Arial"/>
                <w:iCs/>
                <w:sz w:val="20"/>
                <w:szCs w:val="20"/>
              </w:rPr>
              <w:t>Departamento Gestión de Programas de Financiamiento</w:t>
            </w:r>
            <w:r w:rsidRPr="00666328">
              <w:rPr>
                <w:rFonts w:ascii="Arial" w:hAnsi="Arial" w:cs="Arial"/>
                <w:iCs/>
                <w:sz w:val="20"/>
                <w:szCs w:val="20"/>
              </w:rPr>
              <w:tab/>
            </w:r>
          </w:p>
          <w:p w:rsidR="00666328" w:rsidRPr="00666328" w:rsidRDefault="00666328" w:rsidP="00666328">
            <w:pPr>
              <w:pStyle w:val="Textoindependiente"/>
              <w:spacing w:after="0" w:line="240" w:lineRule="auto"/>
              <w:rPr>
                <w:rFonts w:ascii="Arial" w:hAnsi="Arial" w:cs="Arial"/>
                <w:iCs/>
                <w:sz w:val="20"/>
                <w:szCs w:val="20"/>
              </w:rPr>
            </w:pPr>
          </w:p>
        </w:tc>
        <w:tc>
          <w:tcPr>
            <w:tcW w:w="6181" w:type="dxa"/>
            <w:shd w:val="clear" w:color="auto" w:fill="auto"/>
          </w:tcPr>
          <w:p w:rsidR="00666328" w:rsidRPr="00666328" w:rsidRDefault="00666328" w:rsidP="00666328">
            <w:pPr>
              <w:spacing w:after="0" w:line="240" w:lineRule="auto"/>
              <w:ind w:left="2124" w:hanging="2124"/>
              <w:jc w:val="both"/>
              <w:rPr>
                <w:rFonts w:ascii="Arial" w:hAnsi="Arial" w:cs="Arial"/>
                <w:sz w:val="20"/>
                <w:szCs w:val="20"/>
              </w:rPr>
            </w:pPr>
            <w:r w:rsidRPr="00666328">
              <w:rPr>
                <w:rFonts w:ascii="Arial" w:hAnsi="Arial" w:cs="Arial"/>
                <w:sz w:val="20"/>
                <w:szCs w:val="20"/>
              </w:rPr>
              <w:t>DGPF-0009-2018, de fecha 15 de enero 2018.</w:t>
            </w:r>
          </w:p>
        </w:tc>
      </w:tr>
      <w:tr w:rsidR="00666328" w:rsidRPr="00666328" w:rsidTr="00A00F2A">
        <w:trPr>
          <w:trHeight w:val="255"/>
        </w:trPr>
        <w:tc>
          <w:tcPr>
            <w:tcW w:w="4016" w:type="dxa"/>
            <w:shd w:val="clear" w:color="auto" w:fill="auto"/>
          </w:tcPr>
          <w:p w:rsidR="00666328" w:rsidRPr="00666328" w:rsidRDefault="00666328" w:rsidP="00666328">
            <w:pPr>
              <w:pStyle w:val="Textoindependiente"/>
              <w:tabs>
                <w:tab w:val="left" w:pos="1423"/>
              </w:tabs>
              <w:spacing w:after="0" w:line="240" w:lineRule="auto"/>
              <w:rPr>
                <w:rFonts w:ascii="Arial" w:hAnsi="Arial" w:cs="Arial"/>
                <w:iCs/>
                <w:sz w:val="20"/>
                <w:szCs w:val="20"/>
              </w:rPr>
            </w:pPr>
            <w:r w:rsidRPr="00666328">
              <w:rPr>
                <w:rFonts w:ascii="Arial" w:hAnsi="Arial" w:cs="Arial"/>
                <w:iCs/>
                <w:sz w:val="20"/>
                <w:szCs w:val="20"/>
              </w:rPr>
              <w:t>Departamento Gestión de Programas de Financiamiento</w:t>
            </w:r>
            <w:r w:rsidRPr="00666328">
              <w:rPr>
                <w:rFonts w:ascii="Arial" w:hAnsi="Arial" w:cs="Arial"/>
                <w:iCs/>
                <w:sz w:val="20"/>
                <w:szCs w:val="20"/>
              </w:rPr>
              <w:tab/>
            </w:r>
          </w:p>
          <w:p w:rsidR="00666328" w:rsidRPr="00666328" w:rsidRDefault="00666328" w:rsidP="00666328">
            <w:pPr>
              <w:pStyle w:val="Textoindependiente"/>
              <w:spacing w:after="0" w:line="240" w:lineRule="auto"/>
              <w:rPr>
                <w:rFonts w:ascii="Arial" w:hAnsi="Arial" w:cs="Arial"/>
                <w:iCs/>
                <w:sz w:val="20"/>
                <w:szCs w:val="20"/>
              </w:rPr>
            </w:pPr>
          </w:p>
        </w:tc>
        <w:tc>
          <w:tcPr>
            <w:tcW w:w="6181" w:type="dxa"/>
            <w:shd w:val="clear" w:color="auto" w:fill="auto"/>
          </w:tcPr>
          <w:p w:rsidR="00666328" w:rsidRPr="00666328" w:rsidRDefault="00666328" w:rsidP="00666328">
            <w:pPr>
              <w:spacing w:after="0" w:line="240" w:lineRule="auto"/>
              <w:ind w:left="2124" w:hanging="2124"/>
              <w:jc w:val="both"/>
              <w:rPr>
                <w:rFonts w:ascii="Arial" w:hAnsi="Arial" w:cs="Arial"/>
                <w:sz w:val="20"/>
                <w:szCs w:val="20"/>
              </w:rPr>
            </w:pPr>
            <w:r w:rsidRPr="00666328">
              <w:rPr>
                <w:rFonts w:ascii="Arial" w:hAnsi="Arial" w:cs="Arial"/>
                <w:sz w:val="20"/>
                <w:szCs w:val="20"/>
              </w:rPr>
              <w:t>DGPF-0008-2018, de fecha 15 de enero 2018.</w:t>
            </w:r>
          </w:p>
        </w:tc>
      </w:tr>
      <w:tr w:rsidR="00666328" w:rsidRPr="00666328" w:rsidTr="00A00F2A">
        <w:trPr>
          <w:trHeight w:val="255"/>
        </w:trPr>
        <w:tc>
          <w:tcPr>
            <w:tcW w:w="4016" w:type="dxa"/>
            <w:shd w:val="clear" w:color="auto" w:fill="auto"/>
          </w:tcPr>
          <w:p w:rsidR="00666328" w:rsidRPr="00666328" w:rsidRDefault="00666328" w:rsidP="00666328">
            <w:pPr>
              <w:pStyle w:val="Textoindependiente"/>
              <w:spacing w:after="0" w:line="240" w:lineRule="auto"/>
              <w:rPr>
                <w:rFonts w:ascii="Arial" w:hAnsi="Arial" w:cs="Arial"/>
                <w:iCs/>
                <w:sz w:val="20"/>
                <w:szCs w:val="20"/>
              </w:rPr>
            </w:pPr>
            <w:r w:rsidRPr="00666328">
              <w:rPr>
                <w:rFonts w:ascii="Arial" w:hAnsi="Arial" w:cs="Arial"/>
                <w:iCs/>
                <w:sz w:val="20"/>
                <w:szCs w:val="20"/>
              </w:rPr>
              <w:t>Correos varios</w:t>
            </w:r>
          </w:p>
          <w:p w:rsidR="00666328" w:rsidRPr="00666328" w:rsidRDefault="00666328" w:rsidP="00666328">
            <w:pPr>
              <w:pStyle w:val="Textoindependiente"/>
              <w:spacing w:after="0" w:line="240" w:lineRule="auto"/>
              <w:rPr>
                <w:rFonts w:ascii="Arial" w:hAnsi="Arial" w:cs="Arial"/>
                <w:iCs/>
                <w:sz w:val="20"/>
                <w:szCs w:val="20"/>
              </w:rPr>
            </w:pPr>
          </w:p>
        </w:tc>
        <w:tc>
          <w:tcPr>
            <w:tcW w:w="6181" w:type="dxa"/>
            <w:shd w:val="clear" w:color="auto" w:fill="auto"/>
          </w:tcPr>
          <w:p w:rsidR="00666328" w:rsidRPr="00666328" w:rsidRDefault="00666328" w:rsidP="00666328">
            <w:pPr>
              <w:spacing w:after="0" w:line="240" w:lineRule="auto"/>
              <w:ind w:left="2124" w:hanging="2124"/>
              <w:jc w:val="both"/>
              <w:rPr>
                <w:rFonts w:ascii="Arial" w:hAnsi="Arial" w:cs="Arial"/>
                <w:color w:val="FF0000"/>
                <w:sz w:val="20"/>
                <w:szCs w:val="20"/>
              </w:rPr>
            </w:pPr>
          </w:p>
        </w:tc>
      </w:tr>
    </w:tbl>
    <w:p w:rsidR="00666328" w:rsidRPr="00FC7F4D" w:rsidRDefault="00666328" w:rsidP="00666328">
      <w:pPr>
        <w:pStyle w:val="Textoindependiente"/>
        <w:spacing w:after="0" w:line="240" w:lineRule="auto"/>
        <w:rPr>
          <w:rFonts w:ascii="Arial" w:hAnsi="Arial" w:cs="Arial"/>
          <w:color w:val="FF0000"/>
          <w:sz w:val="18"/>
          <w:szCs w:val="18"/>
        </w:rPr>
      </w:pPr>
    </w:p>
    <w:p w:rsidR="00666328" w:rsidRPr="00FC7F4D" w:rsidRDefault="00666328" w:rsidP="00666328">
      <w:pPr>
        <w:pStyle w:val="Textoindependiente"/>
        <w:spacing w:after="0" w:line="240" w:lineRule="auto"/>
        <w:rPr>
          <w:rFonts w:ascii="Arial" w:hAnsi="Arial" w:cs="Arial"/>
          <w:sz w:val="18"/>
          <w:szCs w:val="18"/>
        </w:rPr>
      </w:pPr>
      <w:r w:rsidRPr="00FC7F4D">
        <w:rPr>
          <w:rFonts w:ascii="Arial" w:hAnsi="Arial" w:cs="Arial"/>
          <w:sz w:val="18"/>
          <w:szCs w:val="18"/>
        </w:rPr>
        <w:t>Nota Fuente: Informe labores de área. (2017)</w:t>
      </w:r>
    </w:p>
    <w:p w:rsidR="00666328" w:rsidRPr="00666328" w:rsidRDefault="00666328" w:rsidP="00666328">
      <w:pPr>
        <w:pStyle w:val="Textoindependiente"/>
        <w:spacing w:after="0" w:line="240" w:lineRule="auto"/>
        <w:rPr>
          <w:rFonts w:ascii="Arial" w:hAnsi="Arial" w:cs="Arial"/>
          <w:color w:val="FF0000"/>
          <w:sz w:val="20"/>
          <w:szCs w:val="20"/>
        </w:rPr>
      </w:pPr>
    </w:p>
    <w:p w:rsidR="00666328" w:rsidRDefault="00666328" w:rsidP="00666328">
      <w:pPr>
        <w:pStyle w:val="Prrafodelista"/>
        <w:rPr>
          <w:rFonts w:ascii="Arial" w:hAnsi="Arial" w:cs="Arial"/>
          <w:color w:val="FF0000"/>
        </w:rPr>
      </w:pPr>
    </w:p>
    <w:p w:rsidR="00666328" w:rsidRPr="00E65886" w:rsidRDefault="00666328" w:rsidP="00666328">
      <w:pPr>
        <w:rPr>
          <w:lang w:val="es-ES"/>
        </w:rPr>
      </w:pPr>
    </w:p>
    <w:p w:rsidR="00666328" w:rsidRPr="00E65886" w:rsidRDefault="00666328" w:rsidP="00666328">
      <w:pPr>
        <w:rPr>
          <w:lang w:val="es-ES"/>
        </w:rPr>
      </w:pPr>
    </w:p>
    <w:p w:rsidR="00666328" w:rsidRPr="00666328" w:rsidRDefault="00666328" w:rsidP="00666328">
      <w:pPr>
        <w:spacing w:after="0" w:line="240" w:lineRule="auto"/>
        <w:ind w:left="567"/>
        <w:jc w:val="both"/>
        <w:rPr>
          <w:rFonts w:ascii="Arial" w:hAnsi="Arial" w:cs="Arial"/>
          <w:bCs/>
          <w:sz w:val="20"/>
          <w:szCs w:val="20"/>
          <w:lang w:eastAsia="es-CR"/>
        </w:rPr>
      </w:pPr>
      <w:r w:rsidRPr="00666328">
        <w:rPr>
          <w:rFonts w:ascii="Arial" w:hAnsi="Arial" w:cs="Arial"/>
          <w:sz w:val="20"/>
          <w:szCs w:val="20"/>
        </w:rPr>
        <w:br w:type="page"/>
      </w:r>
    </w:p>
    <w:p w:rsidR="0035377E" w:rsidRPr="00666328" w:rsidRDefault="0035377E" w:rsidP="00666328">
      <w:pPr>
        <w:spacing w:after="0" w:line="240" w:lineRule="auto"/>
        <w:ind w:left="708"/>
        <w:jc w:val="both"/>
        <w:rPr>
          <w:rFonts w:ascii="Arial" w:hAnsi="Arial" w:cs="Arial"/>
          <w:bCs/>
          <w:sz w:val="20"/>
          <w:szCs w:val="20"/>
          <w:lang w:eastAsia="es-CR"/>
        </w:rPr>
      </w:pPr>
    </w:p>
    <w:p w:rsidR="00666328" w:rsidRPr="00666328" w:rsidRDefault="00666328" w:rsidP="00666328">
      <w:pPr>
        <w:pStyle w:val="Ttulo1"/>
        <w:keepLines w:val="0"/>
        <w:numPr>
          <w:ilvl w:val="0"/>
          <w:numId w:val="1"/>
        </w:numPr>
        <w:spacing w:after="60" w:line="240" w:lineRule="auto"/>
        <w:jc w:val="both"/>
        <w:rPr>
          <w:rFonts w:ascii="Arial" w:eastAsia="Times New Roman" w:hAnsi="Arial" w:cs="Arial"/>
          <w:b/>
          <w:bCs/>
          <w:color w:val="auto"/>
          <w:kern w:val="32"/>
          <w:sz w:val="20"/>
          <w:szCs w:val="20"/>
          <w:lang w:eastAsia="es-ES"/>
        </w:rPr>
      </w:pPr>
      <w:r w:rsidRPr="00666328">
        <w:rPr>
          <w:rFonts w:ascii="Arial" w:eastAsia="Times New Roman" w:hAnsi="Arial" w:cs="Arial"/>
          <w:b/>
          <w:bCs/>
          <w:color w:val="auto"/>
          <w:kern w:val="32"/>
          <w:sz w:val="20"/>
          <w:szCs w:val="20"/>
          <w:lang w:eastAsia="es-ES"/>
        </w:rPr>
        <w:t>ANEXOS</w:t>
      </w:r>
    </w:p>
    <w:p w:rsidR="00666328" w:rsidRDefault="00666328" w:rsidP="00666328">
      <w:pPr>
        <w:pStyle w:val="Ttulo1"/>
        <w:keepLines w:val="0"/>
        <w:spacing w:after="60" w:line="240" w:lineRule="auto"/>
        <w:ind w:left="928" w:hanging="360"/>
        <w:jc w:val="center"/>
        <w:rPr>
          <w:rFonts w:ascii="Arial" w:eastAsia="Times New Roman" w:hAnsi="Arial" w:cs="Arial"/>
          <w:sz w:val="20"/>
          <w:szCs w:val="20"/>
          <w:lang w:val="es-ES" w:eastAsia="es-ES"/>
        </w:rPr>
      </w:pPr>
      <w:r>
        <w:rPr>
          <w:noProof/>
          <w:lang w:eastAsia="es-CR"/>
        </w:rPr>
        <w:drawing>
          <wp:inline distT="0" distB="0" distL="0" distR="0" wp14:anchorId="4699F9DE" wp14:editId="1C138840">
            <wp:extent cx="5895833" cy="3246879"/>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907776" cy="3253456"/>
                    </a:xfrm>
                    <a:prstGeom prst="rect">
                      <a:avLst/>
                    </a:prstGeom>
                    <a:noFill/>
                    <a:ln>
                      <a:noFill/>
                    </a:ln>
                  </pic:spPr>
                </pic:pic>
              </a:graphicData>
            </a:graphic>
          </wp:inline>
        </w:drawing>
      </w:r>
    </w:p>
    <w:p w:rsidR="00493929" w:rsidRDefault="00493929" w:rsidP="00FC7F4D">
      <w:pPr>
        <w:rPr>
          <w:rFonts w:ascii="Arial" w:eastAsia="Times New Roman" w:hAnsi="Arial" w:cs="Arial"/>
          <w:sz w:val="20"/>
          <w:szCs w:val="20"/>
          <w:lang w:val="es-ES" w:eastAsia="es-ES"/>
        </w:rPr>
      </w:pPr>
    </w:p>
    <w:sectPr w:rsidR="00493929" w:rsidSect="00C16C06">
      <w:headerReference w:type="default" r:id="rId45"/>
      <w:footerReference w:type="default" r:id="rId46"/>
      <w:pgSz w:w="12240" w:h="15840"/>
      <w:pgMar w:top="1871"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2BE" w:rsidRDefault="00C722BE" w:rsidP="00E75AA5">
      <w:pPr>
        <w:spacing w:after="0" w:line="240" w:lineRule="auto"/>
      </w:pPr>
      <w:r>
        <w:separator/>
      </w:r>
    </w:p>
  </w:endnote>
  <w:endnote w:type="continuationSeparator" w:id="0">
    <w:p w:rsidR="00C722BE" w:rsidRDefault="00C722BE" w:rsidP="00E75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78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7"/>
      <w:gridCol w:w="2835"/>
    </w:tblGrid>
    <w:tr w:rsidR="00C16C06" w:rsidRPr="009D1121" w:rsidTr="008A7E3B">
      <w:tc>
        <w:tcPr>
          <w:tcW w:w="6947" w:type="dxa"/>
        </w:tcPr>
        <w:p w:rsidR="00C16C06" w:rsidRPr="009D1121" w:rsidRDefault="00C16C06" w:rsidP="008A7E3B">
          <w:pPr>
            <w:pStyle w:val="Piedepgina"/>
            <w:rPr>
              <w:color w:val="003B59"/>
              <w:sz w:val="16"/>
              <w:szCs w:val="16"/>
            </w:rPr>
          </w:pPr>
          <w:r w:rsidRPr="009D1121">
            <w:rPr>
              <w:rFonts w:ascii="Helvetica" w:eastAsiaTheme="minorEastAsia" w:hAnsi="Helvetica"/>
              <w:noProof/>
              <w:color w:val="003B59"/>
              <w:sz w:val="16"/>
              <w:szCs w:val="16"/>
              <w:lang w:eastAsia="es-CR"/>
            </w:rPr>
            <w:t xml:space="preserve">Avenida 9, calles 3 bis y 5, Barrio Amón, San José. </w:t>
          </w:r>
          <w:r w:rsidRPr="009D1121">
            <w:rPr>
              <w:rStyle w:val="Nmerodepgina"/>
              <w:rFonts w:eastAsiaTheme="majorEastAsia" w:cs="Arial"/>
              <w:color w:val="003B59"/>
              <w:sz w:val="16"/>
              <w:szCs w:val="16"/>
            </w:rPr>
            <w:t>Apdo. 2534-1000 San José, Costa Rica</w:t>
          </w:r>
        </w:p>
      </w:tc>
      <w:tc>
        <w:tcPr>
          <w:tcW w:w="2835" w:type="dxa"/>
        </w:tcPr>
        <w:p w:rsidR="00C16C06" w:rsidRPr="009D1121" w:rsidRDefault="00C16C06" w:rsidP="008A7E3B">
          <w:pPr>
            <w:pStyle w:val="Piedepgina"/>
            <w:jc w:val="right"/>
            <w:rPr>
              <w:rStyle w:val="Nmerodepgina"/>
              <w:rFonts w:eastAsiaTheme="majorEastAsia" w:cs="Arial"/>
              <w:color w:val="003B59"/>
              <w:sz w:val="16"/>
              <w:szCs w:val="16"/>
            </w:rPr>
          </w:pPr>
          <w:r w:rsidRPr="009D1121">
            <w:rPr>
              <w:rStyle w:val="Nmerodepgina"/>
              <w:rFonts w:eastAsiaTheme="majorEastAsia" w:cs="Arial"/>
              <w:color w:val="003B59"/>
              <w:sz w:val="16"/>
              <w:szCs w:val="16"/>
            </w:rPr>
            <w:t xml:space="preserve">Central Telefónica: </w:t>
          </w:r>
          <w:r>
            <w:rPr>
              <w:rStyle w:val="Nmerodepgina"/>
              <w:rFonts w:eastAsiaTheme="majorEastAsia" w:cs="Arial"/>
              <w:color w:val="003B59"/>
              <w:sz w:val="16"/>
              <w:szCs w:val="16"/>
            </w:rPr>
            <w:t>2211-0000</w:t>
          </w:r>
        </w:p>
        <w:p w:rsidR="00C16C06" w:rsidRPr="009D1121" w:rsidRDefault="00C16C06" w:rsidP="008A7E3B">
          <w:pPr>
            <w:pStyle w:val="Piedepgina"/>
            <w:jc w:val="right"/>
            <w:rPr>
              <w:rStyle w:val="Nmerodepgina"/>
              <w:rFonts w:eastAsiaTheme="majorEastAsia" w:cs="Arial"/>
              <w:color w:val="003B59"/>
              <w:sz w:val="16"/>
              <w:szCs w:val="16"/>
            </w:rPr>
          </w:pPr>
          <w:hyperlink r:id="rId1" w:history="1">
            <w:r w:rsidRPr="009D1121">
              <w:rPr>
                <w:rStyle w:val="Hipervnculo"/>
                <w:rFonts w:eastAsiaTheme="majorEastAsia" w:cs="Arial"/>
                <w:color w:val="003B59"/>
                <w:sz w:val="16"/>
                <w:szCs w:val="16"/>
              </w:rPr>
              <w:t>www.invu.go.cr</w:t>
            </w:r>
          </w:hyperlink>
        </w:p>
        <w:p w:rsidR="00C16C06" w:rsidRPr="009D1121" w:rsidRDefault="00C16C06" w:rsidP="008A7E3B">
          <w:pPr>
            <w:pStyle w:val="Piedepgina"/>
            <w:jc w:val="right"/>
            <w:rPr>
              <w:color w:val="003B59"/>
              <w:sz w:val="16"/>
              <w:szCs w:val="16"/>
            </w:rPr>
          </w:pPr>
          <w:r w:rsidRPr="009D1121">
            <w:rPr>
              <w:rStyle w:val="Nmerodepgina"/>
              <w:rFonts w:eastAsiaTheme="majorEastAsia" w:cs="Arial"/>
              <w:color w:val="003B59"/>
              <w:sz w:val="16"/>
              <w:szCs w:val="16"/>
            </w:rPr>
            <w:t xml:space="preserve">Pág. </w:t>
          </w:r>
          <w:r w:rsidRPr="009D1121">
            <w:rPr>
              <w:rStyle w:val="Nmerodepgina"/>
              <w:rFonts w:eastAsiaTheme="majorEastAsia" w:cs="Arial"/>
              <w:color w:val="003B59"/>
              <w:sz w:val="16"/>
              <w:szCs w:val="16"/>
            </w:rPr>
            <w:fldChar w:fldCharType="begin"/>
          </w:r>
          <w:r w:rsidRPr="009D1121">
            <w:rPr>
              <w:rStyle w:val="Nmerodepgina"/>
              <w:rFonts w:eastAsiaTheme="majorEastAsia" w:cs="Arial"/>
              <w:color w:val="003B59"/>
              <w:sz w:val="16"/>
              <w:szCs w:val="16"/>
            </w:rPr>
            <w:instrText>PAGE  \* Arabic  \* MERGEFORMAT</w:instrText>
          </w:r>
          <w:r w:rsidRPr="009D1121">
            <w:rPr>
              <w:rStyle w:val="Nmerodepgina"/>
              <w:rFonts w:eastAsiaTheme="majorEastAsia" w:cs="Arial"/>
              <w:color w:val="003B59"/>
              <w:sz w:val="16"/>
              <w:szCs w:val="16"/>
            </w:rPr>
            <w:fldChar w:fldCharType="separate"/>
          </w:r>
          <w:r w:rsidR="009326BF">
            <w:rPr>
              <w:rStyle w:val="Nmerodepgina"/>
              <w:rFonts w:eastAsiaTheme="majorEastAsia" w:cs="Arial"/>
              <w:noProof/>
              <w:color w:val="003B59"/>
              <w:sz w:val="16"/>
              <w:szCs w:val="16"/>
            </w:rPr>
            <w:t>3</w:t>
          </w:r>
          <w:r w:rsidRPr="009D1121">
            <w:rPr>
              <w:rStyle w:val="Nmerodepgina"/>
              <w:rFonts w:eastAsiaTheme="majorEastAsia" w:cs="Arial"/>
              <w:color w:val="003B59"/>
              <w:sz w:val="16"/>
              <w:szCs w:val="16"/>
            </w:rPr>
            <w:fldChar w:fldCharType="end"/>
          </w:r>
          <w:r w:rsidRPr="009D1121">
            <w:rPr>
              <w:rStyle w:val="Nmerodepgina"/>
              <w:rFonts w:eastAsiaTheme="majorEastAsia" w:cs="Arial"/>
              <w:color w:val="003B59"/>
              <w:sz w:val="16"/>
              <w:szCs w:val="16"/>
            </w:rPr>
            <w:t xml:space="preserve"> / </w:t>
          </w:r>
          <w:fldSimple w:instr="NUMPAGES  \* Arabic  \* MERGEFORMAT">
            <w:r w:rsidR="009326BF" w:rsidRPr="009326BF">
              <w:rPr>
                <w:rStyle w:val="Nmerodepgina"/>
                <w:rFonts w:eastAsiaTheme="majorEastAsia" w:cs="Arial"/>
                <w:noProof/>
                <w:color w:val="003B59"/>
                <w:sz w:val="16"/>
                <w:szCs w:val="16"/>
              </w:rPr>
              <w:t>116</w:t>
            </w:r>
          </w:fldSimple>
        </w:p>
      </w:tc>
    </w:tr>
  </w:tbl>
  <w:p w:rsidR="00C16C06" w:rsidRDefault="00C16C06">
    <w:pPr>
      <w:pStyle w:val="Piedepgina"/>
    </w:pPr>
  </w:p>
  <w:p w:rsidR="00C16C06" w:rsidRDefault="00480B80">
    <w:r>
      <w:rPr>
        <w:noProof/>
        <w:lang w:eastAsia="es-CR"/>
      </w:rPr>
      <mc:AlternateContent>
        <mc:Choice Requires="wpg">
          <w:drawing>
            <wp:anchor distT="0" distB="0" distL="114300" distR="114300" simplePos="0" relativeHeight="251658752" behindDoc="1" locked="0" layoutInCell="1" allowOverlap="1" wp14:anchorId="4D6B9736" wp14:editId="3394C03E">
              <wp:simplePos x="0" y="0"/>
              <wp:positionH relativeFrom="column">
                <wp:posOffset>-1082675</wp:posOffset>
              </wp:positionH>
              <wp:positionV relativeFrom="paragraph">
                <wp:posOffset>172600</wp:posOffset>
              </wp:positionV>
              <wp:extent cx="9145905" cy="571500"/>
              <wp:effectExtent l="0" t="0" r="0" b="0"/>
              <wp:wrapNone/>
              <wp:docPr id="1" name="1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45905" cy="571500"/>
                        <a:chOff x="0" y="0"/>
                        <a:chExt cx="9145917" cy="571500"/>
                      </a:xfrm>
                    </wpg:grpSpPr>
                    <wps:wsp>
                      <wps:cNvPr id="2" name="3 Forma libre"/>
                      <wps:cNvSpPr/>
                      <wps:spPr>
                        <a:xfrm>
                          <a:off x="0" y="0"/>
                          <a:ext cx="958850" cy="571500"/>
                        </a:xfrm>
                        <a:custGeom>
                          <a:avLst/>
                          <a:gdLst>
                            <a:gd name="connsiteX0" fmla="*/ 0 w 952500"/>
                            <a:gd name="connsiteY0" fmla="*/ 565150 h 577850"/>
                            <a:gd name="connsiteX1" fmla="*/ 0 w 952500"/>
                            <a:gd name="connsiteY1" fmla="*/ 0 h 577850"/>
                            <a:gd name="connsiteX2" fmla="*/ 952500 w 952500"/>
                            <a:gd name="connsiteY2" fmla="*/ 12700 h 577850"/>
                            <a:gd name="connsiteX3" fmla="*/ 381000 w 952500"/>
                            <a:gd name="connsiteY3" fmla="*/ 577850 h 577850"/>
                            <a:gd name="connsiteX4" fmla="*/ 0 w 952500"/>
                            <a:gd name="connsiteY4" fmla="*/ 565150 h 577850"/>
                            <a:gd name="connsiteX0" fmla="*/ 0 w 1104900"/>
                            <a:gd name="connsiteY0" fmla="*/ 641350 h 654050"/>
                            <a:gd name="connsiteX1" fmla="*/ 0 w 1104900"/>
                            <a:gd name="connsiteY1" fmla="*/ 76200 h 654050"/>
                            <a:gd name="connsiteX2" fmla="*/ 1104900 w 1104900"/>
                            <a:gd name="connsiteY2" fmla="*/ 0 h 654050"/>
                            <a:gd name="connsiteX3" fmla="*/ 381000 w 1104900"/>
                            <a:gd name="connsiteY3" fmla="*/ 654050 h 654050"/>
                            <a:gd name="connsiteX4" fmla="*/ 0 w 1104900"/>
                            <a:gd name="connsiteY4" fmla="*/ 641350 h 654050"/>
                            <a:gd name="connsiteX0" fmla="*/ 0 w 704850"/>
                            <a:gd name="connsiteY0" fmla="*/ 565150 h 577850"/>
                            <a:gd name="connsiteX1" fmla="*/ 0 w 704850"/>
                            <a:gd name="connsiteY1" fmla="*/ 0 h 577850"/>
                            <a:gd name="connsiteX2" fmla="*/ 704850 w 704850"/>
                            <a:gd name="connsiteY2" fmla="*/ 114300 h 577850"/>
                            <a:gd name="connsiteX3" fmla="*/ 381000 w 704850"/>
                            <a:gd name="connsiteY3" fmla="*/ 577850 h 577850"/>
                            <a:gd name="connsiteX4" fmla="*/ 0 w 704850"/>
                            <a:gd name="connsiteY4" fmla="*/ 565150 h 577850"/>
                            <a:gd name="connsiteX0" fmla="*/ 0 w 958850"/>
                            <a:gd name="connsiteY0" fmla="*/ 565150 h 577850"/>
                            <a:gd name="connsiteX1" fmla="*/ 0 w 958850"/>
                            <a:gd name="connsiteY1" fmla="*/ 0 h 577850"/>
                            <a:gd name="connsiteX2" fmla="*/ 958850 w 958850"/>
                            <a:gd name="connsiteY2" fmla="*/ 12700 h 577850"/>
                            <a:gd name="connsiteX3" fmla="*/ 381000 w 958850"/>
                            <a:gd name="connsiteY3" fmla="*/ 577850 h 577850"/>
                            <a:gd name="connsiteX4" fmla="*/ 0 w 958850"/>
                            <a:gd name="connsiteY4" fmla="*/ 565150 h 577850"/>
                            <a:gd name="connsiteX0" fmla="*/ 0 w 958850"/>
                            <a:gd name="connsiteY0" fmla="*/ 565150 h 571500"/>
                            <a:gd name="connsiteX1" fmla="*/ 0 w 958850"/>
                            <a:gd name="connsiteY1" fmla="*/ 0 h 571500"/>
                            <a:gd name="connsiteX2" fmla="*/ 958850 w 958850"/>
                            <a:gd name="connsiteY2" fmla="*/ 12700 h 571500"/>
                            <a:gd name="connsiteX3" fmla="*/ 387350 w 958850"/>
                            <a:gd name="connsiteY3" fmla="*/ 571500 h 571500"/>
                            <a:gd name="connsiteX4" fmla="*/ 0 w 958850"/>
                            <a:gd name="connsiteY4" fmla="*/ 565150 h 5715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58850" h="571500">
                              <a:moveTo>
                                <a:pt x="0" y="565150"/>
                              </a:moveTo>
                              <a:lnTo>
                                <a:pt x="0" y="0"/>
                              </a:lnTo>
                              <a:lnTo>
                                <a:pt x="958850" y="12700"/>
                              </a:lnTo>
                              <a:lnTo>
                                <a:pt x="387350" y="571500"/>
                              </a:lnTo>
                              <a:lnTo>
                                <a:pt x="0" y="565150"/>
                              </a:lnTo>
                              <a:close/>
                            </a:path>
                          </a:pathLst>
                        </a:cu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2 Forma libre"/>
                      <wps:cNvSpPr/>
                      <wps:spPr>
                        <a:xfrm>
                          <a:off x="560717" y="0"/>
                          <a:ext cx="8585200" cy="565150"/>
                        </a:xfrm>
                        <a:custGeom>
                          <a:avLst/>
                          <a:gdLst>
                            <a:gd name="connsiteX0" fmla="*/ 0 w 7340600"/>
                            <a:gd name="connsiteY0" fmla="*/ 565150 h 565150"/>
                            <a:gd name="connsiteX1" fmla="*/ 577850 w 7340600"/>
                            <a:gd name="connsiteY1" fmla="*/ 0 h 565150"/>
                            <a:gd name="connsiteX2" fmla="*/ 679450 w 7340600"/>
                            <a:gd name="connsiteY2" fmla="*/ 88900 h 565150"/>
                            <a:gd name="connsiteX3" fmla="*/ 7340600 w 7340600"/>
                            <a:gd name="connsiteY3" fmla="*/ 234950 h 565150"/>
                            <a:gd name="connsiteX4" fmla="*/ 7334250 w 7340600"/>
                            <a:gd name="connsiteY4" fmla="*/ 565150 h 565150"/>
                            <a:gd name="connsiteX5" fmla="*/ 0 w 7340600"/>
                            <a:gd name="connsiteY5" fmla="*/ 565150 h 565150"/>
                            <a:gd name="connsiteX0" fmla="*/ 0 w 8604250"/>
                            <a:gd name="connsiteY0" fmla="*/ 565150 h 565150"/>
                            <a:gd name="connsiteX1" fmla="*/ 577850 w 8604250"/>
                            <a:gd name="connsiteY1" fmla="*/ 0 h 565150"/>
                            <a:gd name="connsiteX2" fmla="*/ 679450 w 8604250"/>
                            <a:gd name="connsiteY2" fmla="*/ 88900 h 565150"/>
                            <a:gd name="connsiteX3" fmla="*/ 7340600 w 8604250"/>
                            <a:gd name="connsiteY3" fmla="*/ 234950 h 565150"/>
                            <a:gd name="connsiteX4" fmla="*/ 8604250 w 8604250"/>
                            <a:gd name="connsiteY4" fmla="*/ 558800 h 565150"/>
                            <a:gd name="connsiteX5" fmla="*/ 0 w 8604250"/>
                            <a:gd name="connsiteY5" fmla="*/ 565150 h 565150"/>
                            <a:gd name="connsiteX0" fmla="*/ 0 w 8604250"/>
                            <a:gd name="connsiteY0" fmla="*/ 565150 h 565150"/>
                            <a:gd name="connsiteX1" fmla="*/ 577850 w 8604250"/>
                            <a:gd name="connsiteY1" fmla="*/ 0 h 565150"/>
                            <a:gd name="connsiteX2" fmla="*/ 679450 w 8604250"/>
                            <a:gd name="connsiteY2" fmla="*/ 88900 h 565150"/>
                            <a:gd name="connsiteX3" fmla="*/ 8585200 w 8604250"/>
                            <a:gd name="connsiteY3" fmla="*/ 260350 h 565150"/>
                            <a:gd name="connsiteX4" fmla="*/ 8604250 w 8604250"/>
                            <a:gd name="connsiteY4" fmla="*/ 558800 h 565150"/>
                            <a:gd name="connsiteX5" fmla="*/ 0 w 8604250"/>
                            <a:gd name="connsiteY5" fmla="*/ 565150 h 565150"/>
                            <a:gd name="connsiteX0" fmla="*/ 0 w 8585200"/>
                            <a:gd name="connsiteY0" fmla="*/ 565150 h 565150"/>
                            <a:gd name="connsiteX1" fmla="*/ 577850 w 8585200"/>
                            <a:gd name="connsiteY1" fmla="*/ 0 h 565150"/>
                            <a:gd name="connsiteX2" fmla="*/ 679450 w 8585200"/>
                            <a:gd name="connsiteY2" fmla="*/ 88900 h 565150"/>
                            <a:gd name="connsiteX3" fmla="*/ 8585200 w 8585200"/>
                            <a:gd name="connsiteY3" fmla="*/ 260350 h 565150"/>
                            <a:gd name="connsiteX4" fmla="*/ 8540750 w 8585200"/>
                            <a:gd name="connsiteY4" fmla="*/ 558800 h 565150"/>
                            <a:gd name="connsiteX5" fmla="*/ 0 w 8585200"/>
                            <a:gd name="connsiteY5" fmla="*/ 565150 h 565150"/>
                            <a:gd name="connsiteX0" fmla="*/ 0 w 8585200"/>
                            <a:gd name="connsiteY0" fmla="*/ 565150 h 565150"/>
                            <a:gd name="connsiteX1" fmla="*/ 577850 w 8585200"/>
                            <a:gd name="connsiteY1" fmla="*/ 0 h 565150"/>
                            <a:gd name="connsiteX2" fmla="*/ 679450 w 8585200"/>
                            <a:gd name="connsiteY2" fmla="*/ 88900 h 565150"/>
                            <a:gd name="connsiteX3" fmla="*/ 8585200 w 8585200"/>
                            <a:gd name="connsiteY3" fmla="*/ 260350 h 565150"/>
                            <a:gd name="connsiteX4" fmla="*/ 8578850 w 8585200"/>
                            <a:gd name="connsiteY4" fmla="*/ 558800 h 565150"/>
                            <a:gd name="connsiteX5" fmla="*/ 0 w 8585200"/>
                            <a:gd name="connsiteY5" fmla="*/ 565150 h 565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585200" h="565150">
                              <a:moveTo>
                                <a:pt x="0" y="565150"/>
                              </a:moveTo>
                              <a:lnTo>
                                <a:pt x="577850" y="0"/>
                              </a:lnTo>
                              <a:lnTo>
                                <a:pt x="679450" y="88900"/>
                              </a:lnTo>
                              <a:lnTo>
                                <a:pt x="8585200" y="260350"/>
                              </a:lnTo>
                              <a:lnTo>
                                <a:pt x="8578850" y="558800"/>
                              </a:lnTo>
                              <a:lnTo>
                                <a:pt x="0" y="565150"/>
                              </a:lnTo>
                              <a:close/>
                            </a:path>
                          </a:pathLst>
                        </a:custGeom>
                        <a:solidFill>
                          <a:srgbClr val="003B5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10FBC7" id="1 Grupo" o:spid="_x0000_s1026" style="position:absolute;margin-left:-85.25pt;margin-top:13.6pt;width:720.15pt;height:45pt;z-index:-251657728;mso-width-relative:margin;mso-height-relative:margin" coordsize="91459,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">
              <v:shape id="3 Forma libre" o:spid="_x0000_s1027" style="position:absolute;width:9588;height:5715;visibility:visible;mso-wrap-style:square;v-text-anchor:middle" coordsize="958850,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" path="m,565150l,,958850,12700,387350,571500,,565150xe" fillcolor="#e36c0a [2409]" stroked="f" strokeweight="2pt">
                <v:path arrowok="t" o:connecttype="custom" o:connectlocs="0,565150;0,0;958850,12700;387350,571500;0,565150" o:connectangles="0,0,0,0,0"/>
              </v:shape>
              <v:shape id="2 Forma libre" o:spid="_x0000_s1028" style="position:absolute;left:5607;width:85852;height:5651;visibility:visible;mso-wrap-style:square;v-text-anchor:middle" coordsize="8585200,56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" path="m,565150l577850,,679450,88900,8585200,260350r-6350,298450l,565150xe" fillcolor="#003b59" stroked="f" strokeweight="2pt">
                <v:path arrowok="t" o:connecttype="custom" o:connectlocs="0,565150;577850,0;679450,88900;8585200,260350;8578850,558800;0,565150" o:connectangles="0,0,0,0,0,0"/>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2BE" w:rsidRDefault="00C722BE" w:rsidP="00E75AA5">
      <w:pPr>
        <w:spacing w:after="0" w:line="240" w:lineRule="auto"/>
      </w:pPr>
      <w:r>
        <w:separator/>
      </w:r>
    </w:p>
  </w:footnote>
  <w:footnote w:type="continuationSeparator" w:id="0">
    <w:p w:rsidR="00C722BE" w:rsidRDefault="00C722BE" w:rsidP="00E75A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C06" w:rsidRDefault="00C16C06">
    <w:pPr>
      <w:pStyle w:val="Encabezado"/>
    </w:pPr>
    <w:r w:rsidRPr="00244B49">
      <w:rPr>
        <w:noProof/>
        <w:lang w:eastAsia="es-CR"/>
      </w:rPr>
      <w:drawing>
        <wp:anchor distT="0" distB="0" distL="114300" distR="114300" simplePos="0" relativeHeight="251660288" behindDoc="1" locked="0" layoutInCell="1" allowOverlap="1" wp14:anchorId="0D6540B9" wp14:editId="0070C27E">
          <wp:simplePos x="0" y="0"/>
          <wp:positionH relativeFrom="column">
            <wp:posOffset>-517525</wp:posOffset>
          </wp:positionH>
          <wp:positionV relativeFrom="paragraph">
            <wp:posOffset>41209</wp:posOffset>
          </wp:positionV>
          <wp:extent cx="1828800" cy="640715"/>
          <wp:effectExtent l="0" t="0" r="0" b="6985"/>
          <wp:wrapTight wrapText="bothSides">
            <wp:wrapPolygon edited="0">
              <wp:start x="0" y="0"/>
              <wp:lineTo x="0" y="21193"/>
              <wp:lineTo x="21375" y="21193"/>
              <wp:lineTo x="21375" y="0"/>
              <wp:lineTo x="0" y="0"/>
            </wp:wrapPolygon>
          </wp:wrapTight>
          <wp:docPr id="16" name="Imagen 1" descr="Logo-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Logo-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64071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5FE2"/>
    <w:multiLevelType w:val="hybridMultilevel"/>
    <w:tmpl w:val="5B88D66C"/>
    <w:lvl w:ilvl="0" w:tplc="140A0013">
      <w:start w:val="1"/>
      <w:numFmt w:val="upperRoman"/>
      <w:lvlText w:val="%1."/>
      <w:lvlJc w:val="righ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 w15:restartNumberingAfterBreak="0">
    <w:nsid w:val="03CF41D4"/>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C91E58"/>
    <w:multiLevelType w:val="hybridMultilevel"/>
    <w:tmpl w:val="74705D52"/>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95A79D8"/>
    <w:multiLevelType w:val="multilevel"/>
    <w:tmpl w:val="8CF04FA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C203F1"/>
    <w:multiLevelType w:val="hybridMultilevel"/>
    <w:tmpl w:val="AA40DA8C"/>
    <w:lvl w:ilvl="0" w:tplc="EC5E884A">
      <w:start w:val="1"/>
      <w:numFmt w:val="upperLetter"/>
      <w:lvlText w:val="%1."/>
      <w:lvlJc w:val="left"/>
      <w:pPr>
        <w:ind w:left="928" w:hanging="360"/>
      </w:pPr>
      <w:rPr>
        <w:b/>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3501870"/>
    <w:multiLevelType w:val="hybridMultilevel"/>
    <w:tmpl w:val="B6822B2A"/>
    <w:lvl w:ilvl="0" w:tplc="140A0013">
      <w:start w:val="1"/>
      <w:numFmt w:val="upperRoman"/>
      <w:lvlText w:val="%1."/>
      <w:lvlJc w:val="righ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6" w15:restartNumberingAfterBreak="0">
    <w:nsid w:val="161313E0"/>
    <w:multiLevelType w:val="hybridMultilevel"/>
    <w:tmpl w:val="F2288620"/>
    <w:lvl w:ilvl="0" w:tplc="140A0013">
      <w:start w:val="1"/>
      <w:numFmt w:val="upperRoman"/>
      <w:lvlText w:val="%1."/>
      <w:lvlJc w:val="righ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7" w15:restartNumberingAfterBreak="0">
    <w:nsid w:val="193F4E64"/>
    <w:multiLevelType w:val="multilevel"/>
    <w:tmpl w:val="E27A0960"/>
    <w:styleLink w:val="Estilo1"/>
    <w:lvl w:ilvl="0">
      <w:start w:val="1"/>
      <w:numFmt w:val="lowerLetter"/>
      <w:lvlText w:val="%1)"/>
      <w:lvlJc w:val="left"/>
      <w:pPr>
        <w:ind w:left="720" w:hanging="360"/>
      </w:p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FC03572"/>
    <w:multiLevelType w:val="hybridMultilevel"/>
    <w:tmpl w:val="32F2CC3E"/>
    <w:lvl w:ilvl="0" w:tplc="EC5E884A">
      <w:start w:val="1"/>
      <w:numFmt w:val="upperLetter"/>
      <w:lvlText w:val="%1."/>
      <w:lvlJc w:val="left"/>
      <w:pPr>
        <w:ind w:left="928" w:hanging="360"/>
      </w:pPr>
      <w:rPr>
        <w:b/>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256D0839"/>
    <w:multiLevelType w:val="hybridMultilevel"/>
    <w:tmpl w:val="654C88F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2A2E5CB9"/>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75024BB"/>
    <w:multiLevelType w:val="hybridMultilevel"/>
    <w:tmpl w:val="AAFAB4D8"/>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7DF2EEB"/>
    <w:multiLevelType w:val="hybridMultilevel"/>
    <w:tmpl w:val="24CC23F6"/>
    <w:lvl w:ilvl="0" w:tplc="1820C910">
      <w:start w:val="1"/>
      <w:numFmt w:val="decimal"/>
      <w:lvlText w:val="%1."/>
      <w:lvlJc w:val="left"/>
      <w:pPr>
        <w:ind w:left="719" w:hanging="360"/>
      </w:pPr>
      <w:rPr>
        <w:rFonts w:ascii="Arial" w:hAnsi="Arial" w:cs="Arial" w:hint="default"/>
        <w:b w:val="0"/>
        <w:color w:val="auto"/>
        <w:sz w:val="20"/>
        <w:szCs w:val="20"/>
      </w:rPr>
    </w:lvl>
    <w:lvl w:ilvl="1" w:tplc="140A0019">
      <w:start w:val="1"/>
      <w:numFmt w:val="lowerLetter"/>
      <w:lvlText w:val="%2."/>
      <w:lvlJc w:val="left"/>
      <w:pPr>
        <w:ind w:left="1439" w:hanging="360"/>
      </w:pPr>
    </w:lvl>
    <w:lvl w:ilvl="2" w:tplc="140A001B" w:tentative="1">
      <w:start w:val="1"/>
      <w:numFmt w:val="lowerRoman"/>
      <w:lvlText w:val="%3."/>
      <w:lvlJc w:val="right"/>
      <w:pPr>
        <w:ind w:left="2159" w:hanging="180"/>
      </w:pPr>
    </w:lvl>
    <w:lvl w:ilvl="3" w:tplc="140A000F" w:tentative="1">
      <w:start w:val="1"/>
      <w:numFmt w:val="decimal"/>
      <w:lvlText w:val="%4."/>
      <w:lvlJc w:val="left"/>
      <w:pPr>
        <w:ind w:left="2879" w:hanging="360"/>
      </w:pPr>
    </w:lvl>
    <w:lvl w:ilvl="4" w:tplc="140A0019" w:tentative="1">
      <w:start w:val="1"/>
      <w:numFmt w:val="lowerLetter"/>
      <w:lvlText w:val="%5."/>
      <w:lvlJc w:val="left"/>
      <w:pPr>
        <w:ind w:left="3599" w:hanging="360"/>
      </w:pPr>
    </w:lvl>
    <w:lvl w:ilvl="5" w:tplc="140A001B" w:tentative="1">
      <w:start w:val="1"/>
      <w:numFmt w:val="lowerRoman"/>
      <w:lvlText w:val="%6."/>
      <w:lvlJc w:val="right"/>
      <w:pPr>
        <w:ind w:left="4319" w:hanging="180"/>
      </w:pPr>
    </w:lvl>
    <w:lvl w:ilvl="6" w:tplc="140A000F" w:tentative="1">
      <w:start w:val="1"/>
      <w:numFmt w:val="decimal"/>
      <w:lvlText w:val="%7."/>
      <w:lvlJc w:val="left"/>
      <w:pPr>
        <w:ind w:left="5039" w:hanging="360"/>
      </w:pPr>
    </w:lvl>
    <w:lvl w:ilvl="7" w:tplc="140A0019" w:tentative="1">
      <w:start w:val="1"/>
      <w:numFmt w:val="lowerLetter"/>
      <w:lvlText w:val="%8."/>
      <w:lvlJc w:val="left"/>
      <w:pPr>
        <w:ind w:left="5759" w:hanging="360"/>
      </w:pPr>
    </w:lvl>
    <w:lvl w:ilvl="8" w:tplc="140A001B" w:tentative="1">
      <w:start w:val="1"/>
      <w:numFmt w:val="lowerRoman"/>
      <w:lvlText w:val="%9."/>
      <w:lvlJc w:val="right"/>
      <w:pPr>
        <w:ind w:left="6479" w:hanging="180"/>
      </w:pPr>
    </w:lvl>
  </w:abstractNum>
  <w:abstractNum w:abstractNumId="13" w15:restartNumberingAfterBreak="0">
    <w:nsid w:val="3BF571D2"/>
    <w:multiLevelType w:val="multilevel"/>
    <w:tmpl w:val="564870B8"/>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7EF7280"/>
    <w:multiLevelType w:val="hybridMultilevel"/>
    <w:tmpl w:val="AA40DA8C"/>
    <w:lvl w:ilvl="0" w:tplc="EC5E884A">
      <w:start w:val="1"/>
      <w:numFmt w:val="upperLetter"/>
      <w:lvlText w:val="%1."/>
      <w:lvlJc w:val="left"/>
      <w:pPr>
        <w:ind w:left="928" w:hanging="360"/>
      </w:pPr>
      <w:rPr>
        <w:b/>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4C465C8E"/>
    <w:multiLevelType w:val="hybridMultilevel"/>
    <w:tmpl w:val="F9386A3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4C5237E4"/>
    <w:multiLevelType w:val="hybridMultilevel"/>
    <w:tmpl w:val="7C24E338"/>
    <w:lvl w:ilvl="0" w:tplc="140A0005">
      <w:start w:val="1"/>
      <w:numFmt w:val="bullet"/>
      <w:lvlText w:val=""/>
      <w:lvlJc w:val="left"/>
      <w:pPr>
        <w:ind w:left="720" w:hanging="360"/>
      </w:pPr>
      <w:rPr>
        <w:rFonts w:ascii="Wingdings" w:hAnsi="Wingdings" w:hint="default"/>
      </w:rPr>
    </w:lvl>
    <w:lvl w:ilvl="1" w:tplc="8EC0C354">
      <w:start w:val="1"/>
      <w:numFmt w:val="upperRoman"/>
      <w:lvlText w:val="%2."/>
      <w:lvlJc w:val="left"/>
      <w:pPr>
        <w:ind w:left="1800" w:hanging="720"/>
      </w:pPr>
      <w:rPr>
        <w:rFonts w:hint="default"/>
        <w:b/>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52AE15D4"/>
    <w:multiLevelType w:val="hybridMultilevel"/>
    <w:tmpl w:val="8D44E4E0"/>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54FA3A55"/>
    <w:multiLevelType w:val="hybridMultilevel"/>
    <w:tmpl w:val="278EBEE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5DE14EED"/>
    <w:multiLevelType w:val="hybridMultilevel"/>
    <w:tmpl w:val="AA40DA8C"/>
    <w:lvl w:ilvl="0" w:tplc="EC5E884A">
      <w:start w:val="1"/>
      <w:numFmt w:val="upperLetter"/>
      <w:lvlText w:val="%1."/>
      <w:lvlJc w:val="left"/>
      <w:pPr>
        <w:ind w:left="928" w:hanging="360"/>
      </w:pPr>
      <w:rPr>
        <w:b/>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5E5F2B67"/>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EDA0DB6"/>
    <w:multiLevelType w:val="hybridMultilevel"/>
    <w:tmpl w:val="92D46A9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60AF5EE4"/>
    <w:multiLevelType w:val="hybridMultilevel"/>
    <w:tmpl w:val="5B88D66C"/>
    <w:lvl w:ilvl="0" w:tplc="140A0013">
      <w:start w:val="1"/>
      <w:numFmt w:val="upperRoman"/>
      <w:lvlText w:val="%1."/>
      <w:lvlJc w:val="righ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23" w15:restartNumberingAfterBreak="0">
    <w:nsid w:val="649750A3"/>
    <w:multiLevelType w:val="hybridMultilevel"/>
    <w:tmpl w:val="A372B70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65B63196"/>
    <w:multiLevelType w:val="hybridMultilevel"/>
    <w:tmpl w:val="0F5E0CD8"/>
    <w:lvl w:ilvl="0" w:tplc="140A0005">
      <w:start w:val="1"/>
      <w:numFmt w:val="bullet"/>
      <w:lvlText w:val=""/>
      <w:lvlJc w:val="left"/>
      <w:pPr>
        <w:tabs>
          <w:tab w:val="num" w:pos="720"/>
        </w:tabs>
        <w:ind w:left="720" w:hanging="360"/>
      </w:pPr>
      <w:rPr>
        <w:rFonts w:ascii="Wingdings" w:hAnsi="Wingding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686A05C6"/>
    <w:multiLevelType w:val="hybridMultilevel"/>
    <w:tmpl w:val="743CA998"/>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69646C14"/>
    <w:multiLevelType w:val="hybridMultilevel"/>
    <w:tmpl w:val="B6822B2A"/>
    <w:lvl w:ilvl="0" w:tplc="140A0013">
      <w:start w:val="1"/>
      <w:numFmt w:val="upperRoman"/>
      <w:lvlText w:val="%1."/>
      <w:lvlJc w:val="righ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7" w15:restartNumberingAfterBreak="0">
    <w:nsid w:val="6B747D58"/>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3A01653"/>
    <w:multiLevelType w:val="hybridMultilevel"/>
    <w:tmpl w:val="5EB4B3E2"/>
    <w:lvl w:ilvl="0" w:tplc="140A0005">
      <w:start w:val="1"/>
      <w:numFmt w:val="bullet"/>
      <w:lvlText w:val=""/>
      <w:lvlJc w:val="left"/>
      <w:pPr>
        <w:tabs>
          <w:tab w:val="num" w:pos="720"/>
        </w:tabs>
        <w:ind w:left="720" w:hanging="360"/>
      </w:pPr>
      <w:rPr>
        <w:rFonts w:ascii="Wingdings" w:hAnsi="Wingdings"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96571F9"/>
    <w:multiLevelType w:val="hybridMultilevel"/>
    <w:tmpl w:val="4F54A0A6"/>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7DFB6CFD"/>
    <w:multiLevelType w:val="hybridMultilevel"/>
    <w:tmpl w:val="C3FC28DC"/>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4"/>
  </w:num>
  <w:num w:numId="2">
    <w:abstractNumId w:val="22"/>
  </w:num>
  <w:num w:numId="3">
    <w:abstractNumId w:val="13"/>
  </w:num>
  <w:num w:numId="4">
    <w:abstractNumId w:val="0"/>
  </w:num>
  <w:num w:numId="5">
    <w:abstractNumId w:val="2"/>
  </w:num>
  <w:num w:numId="6">
    <w:abstractNumId w:val="5"/>
  </w:num>
  <w:num w:numId="7">
    <w:abstractNumId w:val="7"/>
  </w:num>
  <w:num w:numId="8">
    <w:abstractNumId w:val="6"/>
  </w:num>
  <w:num w:numId="9">
    <w:abstractNumId w:val="26"/>
  </w:num>
  <w:num w:numId="10">
    <w:abstractNumId w:val="17"/>
  </w:num>
  <w:num w:numId="11">
    <w:abstractNumId w:val="16"/>
  </w:num>
  <w:num w:numId="12">
    <w:abstractNumId w:val="3"/>
  </w:num>
  <w:num w:numId="13">
    <w:abstractNumId w:val="30"/>
  </w:num>
  <w:num w:numId="14">
    <w:abstractNumId w:val="11"/>
  </w:num>
  <w:num w:numId="15">
    <w:abstractNumId w:val="24"/>
  </w:num>
  <w:num w:numId="16">
    <w:abstractNumId w:val="1"/>
  </w:num>
  <w:num w:numId="17">
    <w:abstractNumId w:val="28"/>
  </w:num>
  <w:num w:numId="18">
    <w:abstractNumId w:val="20"/>
  </w:num>
  <w:num w:numId="19">
    <w:abstractNumId w:val="29"/>
  </w:num>
  <w:num w:numId="20">
    <w:abstractNumId w:val="8"/>
  </w:num>
  <w:num w:numId="21">
    <w:abstractNumId w:val="21"/>
  </w:num>
  <w:num w:numId="22">
    <w:abstractNumId w:val="18"/>
  </w:num>
  <w:num w:numId="23">
    <w:abstractNumId w:val="9"/>
  </w:num>
  <w:num w:numId="24">
    <w:abstractNumId w:val="23"/>
  </w:num>
  <w:num w:numId="25">
    <w:abstractNumId w:val="15"/>
  </w:num>
  <w:num w:numId="26">
    <w:abstractNumId w:val="12"/>
  </w:num>
  <w:num w:numId="27">
    <w:abstractNumId w:val="10"/>
  </w:num>
  <w:num w:numId="28">
    <w:abstractNumId w:val="27"/>
  </w:num>
  <w:num w:numId="29">
    <w:abstractNumId w:val="4"/>
  </w:num>
  <w:num w:numId="30">
    <w:abstractNumId w:val="19"/>
  </w:num>
  <w:num w:numId="31">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D5C"/>
    <w:rsid w:val="00001804"/>
    <w:rsid w:val="00002CCC"/>
    <w:rsid w:val="00003035"/>
    <w:rsid w:val="00005D52"/>
    <w:rsid w:val="00007FE6"/>
    <w:rsid w:val="00014110"/>
    <w:rsid w:val="000151D3"/>
    <w:rsid w:val="00015625"/>
    <w:rsid w:val="000229A1"/>
    <w:rsid w:val="000230D1"/>
    <w:rsid w:val="00025D25"/>
    <w:rsid w:val="000316DE"/>
    <w:rsid w:val="0003287A"/>
    <w:rsid w:val="0003461D"/>
    <w:rsid w:val="00036823"/>
    <w:rsid w:val="00041433"/>
    <w:rsid w:val="00053852"/>
    <w:rsid w:val="00061409"/>
    <w:rsid w:val="00062CCF"/>
    <w:rsid w:val="000665F1"/>
    <w:rsid w:val="00067C0A"/>
    <w:rsid w:val="00070753"/>
    <w:rsid w:val="000733EE"/>
    <w:rsid w:val="0007575E"/>
    <w:rsid w:val="00076A26"/>
    <w:rsid w:val="0008463C"/>
    <w:rsid w:val="000870AE"/>
    <w:rsid w:val="000923D9"/>
    <w:rsid w:val="0009445B"/>
    <w:rsid w:val="00095CB8"/>
    <w:rsid w:val="00096CC3"/>
    <w:rsid w:val="000A0380"/>
    <w:rsid w:val="000A0D0E"/>
    <w:rsid w:val="000A1449"/>
    <w:rsid w:val="000A3D7B"/>
    <w:rsid w:val="000A5707"/>
    <w:rsid w:val="000A5ABE"/>
    <w:rsid w:val="000A6578"/>
    <w:rsid w:val="000A6B7F"/>
    <w:rsid w:val="000B00EC"/>
    <w:rsid w:val="000B07CC"/>
    <w:rsid w:val="000B0F41"/>
    <w:rsid w:val="000B463D"/>
    <w:rsid w:val="000B6344"/>
    <w:rsid w:val="000B690E"/>
    <w:rsid w:val="000C02AC"/>
    <w:rsid w:val="000C2B5A"/>
    <w:rsid w:val="000C6BDA"/>
    <w:rsid w:val="000D238D"/>
    <w:rsid w:val="000D27C6"/>
    <w:rsid w:val="000D4B0B"/>
    <w:rsid w:val="000E14B0"/>
    <w:rsid w:val="000E195B"/>
    <w:rsid w:val="000E507D"/>
    <w:rsid w:val="000E5A47"/>
    <w:rsid w:val="000E71F8"/>
    <w:rsid w:val="000F2954"/>
    <w:rsid w:val="000F2F89"/>
    <w:rsid w:val="000F6162"/>
    <w:rsid w:val="00104C0C"/>
    <w:rsid w:val="001051E4"/>
    <w:rsid w:val="00105D01"/>
    <w:rsid w:val="00116627"/>
    <w:rsid w:val="001245D2"/>
    <w:rsid w:val="00135A59"/>
    <w:rsid w:val="00147922"/>
    <w:rsid w:val="00155963"/>
    <w:rsid w:val="00156C34"/>
    <w:rsid w:val="00162DD4"/>
    <w:rsid w:val="00163517"/>
    <w:rsid w:val="00167656"/>
    <w:rsid w:val="00167D8C"/>
    <w:rsid w:val="00170932"/>
    <w:rsid w:val="00185C07"/>
    <w:rsid w:val="0018660B"/>
    <w:rsid w:val="00186FE4"/>
    <w:rsid w:val="0019550D"/>
    <w:rsid w:val="001A08EA"/>
    <w:rsid w:val="001A47EA"/>
    <w:rsid w:val="001A4E2D"/>
    <w:rsid w:val="001A7085"/>
    <w:rsid w:val="001C3E88"/>
    <w:rsid w:val="001C4F5B"/>
    <w:rsid w:val="001D21D1"/>
    <w:rsid w:val="001D3AA4"/>
    <w:rsid w:val="001D6686"/>
    <w:rsid w:val="001D6BAA"/>
    <w:rsid w:val="001E19FB"/>
    <w:rsid w:val="001E2626"/>
    <w:rsid w:val="001E43F5"/>
    <w:rsid w:val="001E59BD"/>
    <w:rsid w:val="001E5B7E"/>
    <w:rsid w:val="001E77D6"/>
    <w:rsid w:val="001F04BC"/>
    <w:rsid w:val="001F67A1"/>
    <w:rsid w:val="0020028D"/>
    <w:rsid w:val="00201852"/>
    <w:rsid w:val="002066AC"/>
    <w:rsid w:val="00210881"/>
    <w:rsid w:val="00210B58"/>
    <w:rsid w:val="00217FA1"/>
    <w:rsid w:val="00221A24"/>
    <w:rsid w:val="0022219F"/>
    <w:rsid w:val="0022362F"/>
    <w:rsid w:val="0022550F"/>
    <w:rsid w:val="00226661"/>
    <w:rsid w:val="00227269"/>
    <w:rsid w:val="00227B7B"/>
    <w:rsid w:val="00227D76"/>
    <w:rsid w:val="00230B18"/>
    <w:rsid w:val="00233ACA"/>
    <w:rsid w:val="00236351"/>
    <w:rsid w:val="00236402"/>
    <w:rsid w:val="002459C7"/>
    <w:rsid w:val="002534A9"/>
    <w:rsid w:val="00253E06"/>
    <w:rsid w:val="00254531"/>
    <w:rsid w:val="00255545"/>
    <w:rsid w:val="00256322"/>
    <w:rsid w:val="002564B6"/>
    <w:rsid w:val="002574A5"/>
    <w:rsid w:val="00257F39"/>
    <w:rsid w:val="00260E83"/>
    <w:rsid w:val="0026455B"/>
    <w:rsid w:val="0026550C"/>
    <w:rsid w:val="002675C3"/>
    <w:rsid w:val="00271180"/>
    <w:rsid w:val="002721B3"/>
    <w:rsid w:val="002763D1"/>
    <w:rsid w:val="00280EC9"/>
    <w:rsid w:val="0028579E"/>
    <w:rsid w:val="0028677A"/>
    <w:rsid w:val="00291AFB"/>
    <w:rsid w:val="002A1B7D"/>
    <w:rsid w:val="002A4117"/>
    <w:rsid w:val="002A5A01"/>
    <w:rsid w:val="002B54F2"/>
    <w:rsid w:val="002C2ADC"/>
    <w:rsid w:val="002C3C78"/>
    <w:rsid w:val="002D0B97"/>
    <w:rsid w:val="002D0FEB"/>
    <w:rsid w:val="002D5BDD"/>
    <w:rsid w:val="002E02C1"/>
    <w:rsid w:val="002E4BF8"/>
    <w:rsid w:val="002E59AF"/>
    <w:rsid w:val="002E6990"/>
    <w:rsid w:val="002F08B2"/>
    <w:rsid w:val="002F7E1D"/>
    <w:rsid w:val="003009E8"/>
    <w:rsid w:val="0030271E"/>
    <w:rsid w:val="00306E53"/>
    <w:rsid w:val="003114DB"/>
    <w:rsid w:val="003164E0"/>
    <w:rsid w:val="003201FB"/>
    <w:rsid w:val="00321828"/>
    <w:rsid w:val="00326A40"/>
    <w:rsid w:val="003313E7"/>
    <w:rsid w:val="00337B17"/>
    <w:rsid w:val="00342268"/>
    <w:rsid w:val="00350617"/>
    <w:rsid w:val="0035377E"/>
    <w:rsid w:val="003578CF"/>
    <w:rsid w:val="003670E1"/>
    <w:rsid w:val="00374737"/>
    <w:rsid w:val="003757B4"/>
    <w:rsid w:val="0037779C"/>
    <w:rsid w:val="003819A3"/>
    <w:rsid w:val="0038297D"/>
    <w:rsid w:val="003829C0"/>
    <w:rsid w:val="00386628"/>
    <w:rsid w:val="0039102A"/>
    <w:rsid w:val="0039169A"/>
    <w:rsid w:val="00393C2F"/>
    <w:rsid w:val="003A1440"/>
    <w:rsid w:val="003A237F"/>
    <w:rsid w:val="003B0281"/>
    <w:rsid w:val="003B2779"/>
    <w:rsid w:val="003C01FF"/>
    <w:rsid w:val="003C0D9B"/>
    <w:rsid w:val="003C3FCC"/>
    <w:rsid w:val="003D2D12"/>
    <w:rsid w:val="003D5A95"/>
    <w:rsid w:val="003D6234"/>
    <w:rsid w:val="003E0008"/>
    <w:rsid w:val="003E30C5"/>
    <w:rsid w:val="003E70C3"/>
    <w:rsid w:val="0040650E"/>
    <w:rsid w:val="00407FC4"/>
    <w:rsid w:val="00411D49"/>
    <w:rsid w:val="004124FC"/>
    <w:rsid w:val="0041348E"/>
    <w:rsid w:val="00414A88"/>
    <w:rsid w:val="004402A5"/>
    <w:rsid w:val="00445A1F"/>
    <w:rsid w:val="00445A60"/>
    <w:rsid w:val="004463C3"/>
    <w:rsid w:val="00452458"/>
    <w:rsid w:val="004565E6"/>
    <w:rsid w:val="004567FF"/>
    <w:rsid w:val="00466E32"/>
    <w:rsid w:val="00470A3F"/>
    <w:rsid w:val="00472A41"/>
    <w:rsid w:val="004747E6"/>
    <w:rsid w:val="00480553"/>
    <w:rsid w:val="00480B80"/>
    <w:rsid w:val="0048107A"/>
    <w:rsid w:val="004864FF"/>
    <w:rsid w:val="00487B02"/>
    <w:rsid w:val="00492C11"/>
    <w:rsid w:val="00493929"/>
    <w:rsid w:val="00493C0A"/>
    <w:rsid w:val="004947F7"/>
    <w:rsid w:val="00494FD3"/>
    <w:rsid w:val="004A6D05"/>
    <w:rsid w:val="004B11E4"/>
    <w:rsid w:val="004B704E"/>
    <w:rsid w:val="004C3AED"/>
    <w:rsid w:val="004C443E"/>
    <w:rsid w:val="004C47ED"/>
    <w:rsid w:val="004C6339"/>
    <w:rsid w:val="004D159E"/>
    <w:rsid w:val="004D2090"/>
    <w:rsid w:val="004D286F"/>
    <w:rsid w:val="004D5FA7"/>
    <w:rsid w:val="004D7B38"/>
    <w:rsid w:val="004E3C64"/>
    <w:rsid w:val="004E3EA4"/>
    <w:rsid w:val="004E5812"/>
    <w:rsid w:val="00500AD3"/>
    <w:rsid w:val="0050355B"/>
    <w:rsid w:val="00505534"/>
    <w:rsid w:val="005071AE"/>
    <w:rsid w:val="0052293F"/>
    <w:rsid w:val="005229A5"/>
    <w:rsid w:val="005259FE"/>
    <w:rsid w:val="00534FF0"/>
    <w:rsid w:val="00537D5A"/>
    <w:rsid w:val="00540DA1"/>
    <w:rsid w:val="00550D4D"/>
    <w:rsid w:val="0055111E"/>
    <w:rsid w:val="00554401"/>
    <w:rsid w:val="00556DCA"/>
    <w:rsid w:val="00557FE0"/>
    <w:rsid w:val="005601A4"/>
    <w:rsid w:val="00562FB7"/>
    <w:rsid w:val="0056455B"/>
    <w:rsid w:val="005727A0"/>
    <w:rsid w:val="005805FF"/>
    <w:rsid w:val="00582F59"/>
    <w:rsid w:val="00586429"/>
    <w:rsid w:val="0059074D"/>
    <w:rsid w:val="00590BC7"/>
    <w:rsid w:val="005A04CB"/>
    <w:rsid w:val="005A7B55"/>
    <w:rsid w:val="005B679D"/>
    <w:rsid w:val="005C149F"/>
    <w:rsid w:val="005C3CCD"/>
    <w:rsid w:val="005D3C54"/>
    <w:rsid w:val="005E4869"/>
    <w:rsid w:val="005E6097"/>
    <w:rsid w:val="005F08D8"/>
    <w:rsid w:val="00600A17"/>
    <w:rsid w:val="00602DAB"/>
    <w:rsid w:val="006060D6"/>
    <w:rsid w:val="00606FD4"/>
    <w:rsid w:val="006076A5"/>
    <w:rsid w:val="00610679"/>
    <w:rsid w:val="006107EA"/>
    <w:rsid w:val="00615F8C"/>
    <w:rsid w:val="00623888"/>
    <w:rsid w:val="006265E3"/>
    <w:rsid w:val="00632E90"/>
    <w:rsid w:val="006336A8"/>
    <w:rsid w:val="0063425B"/>
    <w:rsid w:val="00634C71"/>
    <w:rsid w:val="00635B71"/>
    <w:rsid w:val="00644BCE"/>
    <w:rsid w:val="00653252"/>
    <w:rsid w:val="006621AC"/>
    <w:rsid w:val="006648CA"/>
    <w:rsid w:val="00666328"/>
    <w:rsid w:val="00672FF2"/>
    <w:rsid w:val="006756C5"/>
    <w:rsid w:val="00675825"/>
    <w:rsid w:val="00690508"/>
    <w:rsid w:val="00692455"/>
    <w:rsid w:val="00696B51"/>
    <w:rsid w:val="006A31D8"/>
    <w:rsid w:val="006A4A03"/>
    <w:rsid w:val="006A7473"/>
    <w:rsid w:val="006A7C95"/>
    <w:rsid w:val="006B4B35"/>
    <w:rsid w:val="006B7317"/>
    <w:rsid w:val="006C6008"/>
    <w:rsid w:val="006D038B"/>
    <w:rsid w:val="006D10FD"/>
    <w:rsid w:val="006D231E"/>
    <w:rsid w:val="006D7C1D"/>
    <w:rsid w:val="006E1165"/>
    <w:rsid w:val="006E3A92"/>
    <w:rsid w:val="006E3EA6"/>
    <w:rsid w:val="006E5165"/>
    <w:rsid w:val="006F2274"/>
    <w:rsid w:val="006F2D81"/>
    <w:rsid w:val="006F4C69"/>
    <w:rsid w:val="006F636B"/>
    <w:rsid w:val="007013E8"/>
    <w:rsid w:val="00702785"/>
    <w:rsid w:val="0070351C"/>
    <w:rsid w:val="00705458"/>
    <w:rsid w:val="007070D9"/>
    <w:rsid w:val="00710383"/>
    <w:rsid w:val="007139BF"/>
    <w:rsid w:val="007165F3"/>
    <w:rsid w:val="00721E7F"/>
    <w:rsid w:val="00730041"/>
    <w:rsid w:val="007318ED"/>
    <w:rsid w:val="007351D2"/>
    <w:rsid w:val="00735E40"/>
    <w:rsid w:val="00735FD1"/>
    <w:rsid w:val="00742733"/>
    <w:rsid w:val="007432B5"/>
    <w:rsid w:val="00744CE6"/>
    <w:rsid w:val="00745D3E"/>
    <w:rsid w:val="00746935"/>
    <w:rsid w:val="00746DC0"/>
    <w:rsid w:val="00750F7C"/>
    <w:rsid w:val="00764A75"/>
    <w:rsid w:val="00765A2C"/>
    <w:rsid w:val="00767D2C"/>
    <w:rsid w:val="00771C27"/>
    <w:rsid w:val="007722BE"/>
    <w:rsid w:val="00773998"/>
    <w:rsid w:val="00774258"/>
    <w:rsid w:val="007750BD"/>
    <w:rsid w:val="00775AE3"/>
    <w:rsid w:val="007838FA"/>
    <w:rsid w:val="007839C1"/>
    <w:rsid w:val="00784DA0"/>
    <w:rsid w:val="0079064C"/>
    <w:rsid w:val="007941C0"/>
    <w:rsid w:val="007A202B"/>
    <w:rsid w:val="007A660F"/>
    <w:rsid w:val="007A6A96"/>
    <w:rsid w:val="007A6BCB"/>
    <w:rsid w:val="007A708E"/>
    <w:rsid w:val="007B2CE8"/>
    <w:rsid w:val="007B3682"/>
    <w:rsid w:val="007B3DBB"/>
    <w:rsid w:val="007B5305"/>
    <w:rsid w:val="007C180A"/>
    <w:rsid w:val="007C7D5B"/>
    <w:rsid w:val="007D1CC4"/>
    <w:rsid w:val="007D32EA"/>
    <w:rsid w:val="007F231D"/>
    <w:rsid w:val="007F58B7"/>
    <w:rsid w:val="007F6487"/>
    <w:rsid w:val="00801B1F"/>
    <w:rsid w:val="00805A65"/>
    <w:rsid w:val="008115D7"/>
    <w:rsid w:val="00812E53"/>
    <w:rsid w:val="0083234E"/>
    <w:rsid w:val="00832774"/>
    <w:rsid w:val="00836C67"/>
    <w:rsid w:val="0084339F"/>
    <w:rsid w:val="00843909"/>
    <w:rsid w:val="00845B37"/>
    <w:rsid w:val="00847782"/>
    <w:rsid w:val="00851A1F"/>
    <w:rsid w:val="00852CE3"/>
    <w:rsid w:val="00854362"/>
    <w:rsid w:val="00860B8F"/>
    <w:rsid w:val="00862C7F"/>
    <w:rsid w:val="00866F9E"/>
    <w:rsid w:val="00875A20"/>
    <w:rsid w:val="00876E07"/>
    <w:rsid w:val="00880A16"/>
    <w:rsid w:val="00880A6D"/>
    <w:rsid w:val="00885267"/>
    <w:rsid w:val="00885719"/>
    <w:rsid w:val="008866BB"/>
    <w:rsid w:val="00890F91"/>
    <w:rsid w:val="00895928"/>
    <w:rsid w:val="00895DFD"/>
    <w:rsid w:val="008A0BD4"/>
    <w:rsid w:val="008A3AB9"/>
    <w:rsid w:val="008A5346"/>
    <w:rsid w:val="008A7E3B"/>
    <w:rsid w:val="008B066B"/>
    <w:rsid w:val="008B1676"/>
    <w:rsid w:val="008B195F"/>
    <w:rsid w:val="008B53F2"/>
    <w:rsid w:val="008B5931"/>
    <w:rsid w:val="008B6BC7"/>
    <w:rsid w:val="008B6F36"/>
    <w:rsid w:val="008C4F31"/>
    <w:rsid w:val="008C6D86"/>
    <w:rsid w:val="008D4060"/>
    <w:rsid w:val="008E4DC6"/>
    <w:rsid w:val="008E5232"/>
    <w:rsid w:val="008E5E06"/>
    <w:rsid w:val="008E6553"/>
    <w:rsid w:val="008E740B"/>
    <w:rsid w:val="008F30CB"/>
    <w:rsid w:val="009003BF"/>
    <w:rsid w:val="00903B4F"/>
    <w:rsid w:val="00904E99"/>
    <w:rsid w:val="00906537"/>
    <w:rsid w:val="00907933"/>
    <w:rsid w:val="00912244"/>
    <w:rsid w:val="009141BE"/>
    <w:rsid w:val="00916ECF"/>
    <w:rsid w:val="0092558F"/>
    <w:rsid w:val="009276CD"/>
    <w:rsid w:val="009326BF"/>
    <w:rsid w:val="00954A10"/>
    <w:rsid w:val="00963154"/>
    <w:rsid w:val="00966325"/>
    <w:rsid w:val="009664AE"/>
    <w:rsid w:val="00971898"/>
    <w:rsid w:val="009727EF"/>
    <w:rsid w:val="00972D6B"/>
    <w:rsid w:val="00977CE4"/>
    <w:rsid w:val="0098357A"/>
    <w:rsid w:val="009850FD"/>
    <w:rsid w:val="00986FEA"/>
    <w:rsid w:val="00991FF2"/>
    <w:rsid w:val="00993F9D"/>
    <w:rsid w:val="00996587"/>
    <w:rsid w:val="00996C60"/>
    <w:rsid w:val="009A1971"/>
    <w:rsid w:val="009A4C24"/>
    <w:rsid w:val="009A5D5C"/>
    <w:rsid w:val="009B2A07"/>
    <w:rsid w:val="009B64F3"/>
    <w:rsid w:val="009B6CA0"/>
    <w:rsid w:val="009C0667"/>
    <w:rsid w:val="009C0BEF"/>
    <w:rsid w:val="009C0FEA"/>
    <w:rsid w:val="009C3D0F"/>
    <w:rsid w:val="009C740D"/>
    <w:rsid w:val="009D1038"/>
    <w:rsid w:val="009D1816"/>
    <w:rsid w:val="009D23CD"/>
    <w:rsid w:val="009D548F"/>
    <w:rsid w:val="009D582C"/>
    <w:rsid w:val="009D7E8D"/>
    <w:rsid w:val="009E561D"/>
    <w:rsid w:val="009E58C6"/>
    <w:rsid w:val="009F0F7B"/>
    <w:rsid w:val="009F226C"/>
    <w:rsid w:val="009F4E10"/>
    <w:rsid w:val="009F5A61"/>
    <w:rsid w:val="009F5E63"/>
    <w:rsid w:val="00A00F2A"/>
    <w:rsid w:val="00A00FCC"/>
    <w:rsid w:val="00A05CCB"/>
    <w:rsid w:val="00A07C5C"/>
    <w:rsid w:val="00A10614"/>
    <w:rsid w:val="00A12A70"/>
    <w:rsid w:val="00A1428D"/>
    <w:rsid w:val="00A14317"/>
    <w:rsid w:val="00A167AA"/>
    <w:rsid w:val="00A16902"/>
    <w:rsid w:val="00A16C40"/>
    <w:rsid w:val="00A20213"/>
    <w:rsid w:val="00A21515"/>
    <w:rsid w:val="00A2423C"/>
    <w:rsid w:val="00A24CF2"/>
    <w:rsid w:val="00A35736"/>
    <w:rsid w:val="00A41113"/>
    <w:rsid w:val="00A41628"/>
    <w:rsid w:val="00A41DD6"/>
    <w:rsid w:val="00A42854"/>
    <w:rsid w:val="00A52114"/>
    <w:rsid w:val="00A53054"/>
    <w:rsid w:val="00A6107E"/>
    <w:rsid w:val="00A62800"/>
    <w:rsid w:val="00A653D7"/>
    <w:rsid w:val="00A670E1"/>
    <w:rsid w:val="00A70666"/>
    <w:rsid w:val="00A71C49"/>
    <w:rsid w:val="00A7437E"/>
    <w:rsid w:val="00A766EC"/>
    <w:rsid w:val="00A77B67"/>
    <w:rsid w:val="00A837C0"/>
    <w:rsid w:val="00A85D18"/>
    <w:rsid w:val="00A87299"/>
    <w:rsid w:val="00A90B94"/>
    <w:rsid w:val="00A924FD"/>
    <w:rsid w:val="00A9352F"/>
    <w:rsid w:val="00A96AB2"/>
    <w:rsid w:val="00A97E9C"/>
    <w:rsid w:val="00AA3698"/>
    <w:rsid w:val="00AA720C"/>
    <w:rsid w:val="00AB296B"/>
    <w:rsid w:val="00AB4453"/>
    <w:rsid w:val="00AB4A20"/>
    <w:rsid w:val="00AB5C30"/>
    <w:rsid w:val="00AC7CBE"/>
    <w:rsid w:val="00AD083D"/>
    <w:rsid w:val="00AD14BD"/>
    <w:rsid w:val="00AD209C"/>
    <w:rsid w:val="00AD2817"/>
    <w:rsid w:val="00AD40F4"/>
    <w:rsid w:val="00AD667C"/>
    <w:rsid w:val="00AE0EEC"/>
    <w:rsid w:val="00AE10A2"/>
    <w:rsid w:val="00AE66F2"/>
    <w:rsid w:val="00AE6A10"/>
    <w:rsid w:val="00AE6BFB"/>
    <w:rsid w:val="00AF38CF"/>
    <w:rsid w:val="00B079B0"/>
    <w:rsid w:val="00B07B0E"/>
    <w:rsid w:val="00B110B9"/>
    <w:rsid w:val="00B1610F"/>
    <w:rsid w:val="00B24F25"/>
    <w:rsid w:val="00B26681"/>
    <w:rsid w:val="00B27365"/>
    <w:rsid w:val="00B34028"/>
    <w:rsid w:val="00B36602"/>
    <w:rsid w:val="00B45576"/>
    <w:rsid w:val="00B4694B"/>
    <w:rsid w:val="00B52F65"/>
    <w:rsid w:val="00B54FBE"/>
    <w:rsid w:val="00B55306"/>
    <w:rsid w:val="00B555DE"/>
    <w:rsid w:val="00B57050"/>
    <w:rsid w:val="00B57D64"/>
    <w:rsid w:val="00B63399"/>
    <w:rsid w:val="00B65E0F"/>
    <w:rsid w:val="00B66F3D"/>
    <w:rsid w:val="00B672E6"/>
    <w:rsid w:val="00B7328C"/>
    <w:rsid w:val="00B75572"/>
    <w:rsid w:val="00B759D2"/>
    <w:rsid w:val="00B8244B"/>
    <w:rsid w:val="00B83F02"/>
    <w:rsid w:val="00B86110"/>
    <w:rsid w:val="00B92633"/>
    <w:rsid w:val="00B96B79"/>
    <w:rsid w:val="00BA1DD8"/>
    <w:rsid w:val="00BA1E4E"/>
    <w:rsid w:val="00BA2467"/>
    <w:rsid w:val="00BA455C"/>
    <w:rsid w:val="00BA7ABB"/>
    <w:rsid w:val="00BC188A"/>
    <w:rsid w:val="00BC1A0F"/>
    <w:rsid w:val="00BC1DD5"/>
    <w:rsid w:val="00BC4B96"/>
    <w:rsid w:val="00BC539A"/>
    <w:rsid w:val="00BD1F6E"/>
    <w:rsid w:val="00BD2E30"/>
    <w:rsid w:val="00BD7D2A"/>
    <w:rsid w:val="00BD7DC8"/>
    <w:rsid w:val="00BD7F81"/>
    <w:rsid w:val="00BE0557"/>
    <w:rsid w:val="00BE2E2B"/>
    <w:rsid w:val="00BE4FF1"/>
    <w:rsid w:val="00BE61F7"/>
    <w:rsid w:val="00BE660F"/>
    <w:rsid w:val="00BF08B4"/>
    <w:rsid w:val="00BF25C6"/>
    <w:rsid w:val="00BF4921"/>
    <w:rsid w:val="00BF5719"/>
    <w:rsid w:val="00BF6A8D"/>
    <w:rsid w:val="00BF7C64"/>
    <w:rsid w:val="00C028B5"/>
    <w:rsid w:val="00C03ECC"/>
    <w:rsid w:val="00C12F99"/>
    <w:rsid w:val="00C16710"/>
    <w:rsid w:val="00C16C06"/>
    <w:rsid w:val="00C212E2"/>
    <w:rsid w:val="00C21AF0"/>
    <w:rsid w:val="00C2253F"/>
    <w:rsid w:val="00C23106"/>
    <w:rsid w:val="00C26C8F"/>
    <w:rsid w:val="00C3116C"/>
    <w:rsid w:val="00C314AC"/>
    <w:rsid w:val="00C37F44"/>
    <w:rsid w:val="00C41762"/>
    <w:rsid w:val="00C4359E"/>
    <w:rsid w:val="00C46A73"/>
    <w:rsid w:val="00C4756C"/>
    <w:rsid w:val="00C53B5E"/>
    <w:rsid w:val="00C54882"/>
    <w:rsid w:val="00C572FD"/>
    <w:rsid w:val="00C60A85"/>
    <w:rsid w:val="00C64559"/>
    <w:rsid w:val="00C647BF"/>
    <w:rsid w:val="00C653AF"/>
    <w:rsid w:val="00C6785D"/>
    <w:rsid w:val="00C67F7E"/>
    <w:rsid w:val="00C7020C"/>
    <w:rsid w:val="00C7082B"/>
    <w:rsid w:val="00C722BE"/>
    <w:rsid w:val="00C73AF0"/>
    <w:rsid w:val="00C813AE"/>
    <w:rsid w:val="00C953CD"/>
    <w:rsid w:val="00CA38F1"/>
    <w:rsid w:val="00CA6B61"/>
    <w:rsid w:val="00CA6BC2"/>
    <w:rsid w:val="00CC0C84"/>
    <w:rsid w:val="00CC2C3A"/>
    <w:rsid w:val="00CC356A"/>
    <w:rsid w:val="00CC5908"/>
    <w:rsid w:val="00CD0BA3"/>
    <w:rsid w:val="00CD2740"/>
    <w:rsid w:val="00CD2D43"/>
    <w:rsid w:val="00CD39A6"/>
    <w:rsid w:val="00CE0C9D"/>
    <w:rsid w:val="00CE7BD8"/>
    <w:rsid w:val="00CF74F6"/>
    <w:rsid w:val="00D00482"/>
    <w:rsid w:val="00D013BD"/>
    <w:rsid w:val="00D06992"/>
    <w:rsid w:val="00D07AD9"/>
    <w:rsid w:val="00D07D47"/>
    <w:rsid w:val="00D16C4D"/>
    <w:rsid w:val="00D176A2"/>
    <w:rsid w:val="00D20BAC"/>
    <w:rsid w:val="00D31722"/>
    <w:rsid w:val="00D323C8"/>
    <w:rsid w:val="00D33FEF"/>
    <w:rsid w:val="00D34AEA"/>
    <w:rsid w:val="00D40855"/>
    <w:rsid w:val="00D41D1D"/>
    <w:rsid w:val="00D43F45"/>
    <w:rsid w:val="00D46284"/>
    <w:rsid w:val="00D50144"/>
    <w:rsid w:val="00D50E10"/>
    <w:rsid w:val="00D50F01"/>
    <w:rsid w:val="00D614EA"/>
    <w:rsid w:val="00D6185A"/>
    <w:rsid w:val="00D74F77"/>
    <w:rsid w:val="00D75D4E"/>
    <w:rsid w:val="00D77558"/>
    <w:rsid w:val="00D81EA7"/>
    <w:rsid w:val="00D86D87"/>
    <w:rsid w:val="00D92389"/>
    <w:rsid w:val="00DA62C0"/>
    <w:rsid w:val="00DB074D"/>
    <w:rsid w:val="00DB0E9F"/>
    <w:rsid w:val="00DB3646"/>
    <w:rsid w:val="00DB55BF"/>
    <w:rsid w:val="00DB79B6"/>
    <w:rsid w:val="00DC20AB"/>
    <w:rsid w:val="00DC3B54"/>
    <w:rsid w:val="00DC781D"/>
    <w:rsid w:val="00DD58B4"/>
    <w:rsid w:val="00DE28FA"/>
    <w:rsid w:val="00DE5A69"/>
    <w:rsid w:val="00DE6F53"/>
    <w:rsid w:val="00DE76FF"/>
    <w:rsid w:val="00DF2DA4"/>
    <w:rsid w:val="00DF2FD2"/>
    <w:rsid w:val="00DF4693"/>
    <w:rsid w:val="00DF5A96"/>
    <w:rsid w:val="00DF605A"/>
    <w:rsid w:val="00DF7E72"/>
    <w:rsid w:val="00E00474"/>
    <w:rsid w:val="00E0268C"/>
    <w:rsid w:val="00E028B8"/>
    <w:rsid w:val="00E04247"/>
    <w:rsid w:val="00E04783"/>
    <w:rsid w:val="00E05F43"/>
    <w:rsid w:val="00E13192"/>
    <w:rsid w:val="00E14797"/>
    <w:rsid w:val="00E15125"/>
    <w:rsid w:val="00E17A33"/>
    <w:rsid w:val="00E2097D"/>
    <w:rsid w:val="00E210A9"/>
    <w:rsid w:val="00E362E4"/>
    <w:rsid w:val="00E37063"/>
    <w:rsid w:val="00E4648A"/>
    <w:rsid w:val="00E51007"/>
    <w:rsid w:val="00E51C5B"/>
    <w:rsid w:val="00E607DE"/>
    <w:rsid w:val="00E65D69"/>
    <w:rsid w:val="00E660A3"/>
    <w:rsid w:val="00E71EF6"/>
    <w:rsid w:val="00E75AA5"/>
    <w:rsid w:val="00E76CC8"/>
    <w:rsid w:val="00E805BF"/>
    <w:rsid w:val="00E813B7"/>
    <w:rsid w:val="00E87CDC"/>
    <w:rsid w:val="00E92424"/>
    <w:rsid w:val="00E97D23"/>
    <w:rsid w:val="00EA2ADE"/>
    <w:rsid w:val="00EA4437"/>
    <w:rsid w:val="00EA76FA"/>
    <w:rsid w:val="00EB0CDE"/>
    <w:rsid w:val="00EB1529"/>
    <w:rsid w:val="00EB5407"/>
    <w:rsid w:val="00EB7ECA"/>
    <w:rsid w:val="00EC0380"/>
    <w:rsid w:val="00EC0BDC"/>
    <w:rsid w:val="00EC1211"/>
    <w:rsid w:val="00EC1CC4"/>
    <w:rsid w:val="00EC2354"/>
    <w:rsid w:val="00EC283E"/>
    <w:rsid w:val="00EC6F40"/>
    <w:rsid w:val="00ED0F84"/>
    <w:rsid w:val="00ED35E3"/>
    <w:rsid w:val="00EE3F36"/>
    <w:rsid w:val="00EE5D0D"/>
    <w:rsid w:val="00EE5F57"/>
    <w:rsid w:val="00EF08AB"/>
    <w:rsid w:val="00EF2585"/>
    <w:rsid w:val="00F0147E"/>
    <w:rsid w:val="00F01E4A"/>
    <w:rsid w:val="00F02EC6"/>
    <w:rsid w:val="00F04FF4"/>
    <w:rsid w:val="00F147FE"/>
    <w:rsid w:val="00F1742A"/>
    <w:rsid w:val="00F22ADE"/>
    <w:rsid w:val="00F2310E"/>
    <w:rsid w:val="00F23998"/>
    <w:rsid w:val="00F27C97"/>
    <w:rsid w:val="00F30A3C"/>
    <w:rsid w:val="00F30A8D"/>
    <w:rsid w:val="00F30AAB"/>
    <w:rsid w:val="00F323B5"/>
    <w:rsid w:val="00F371A7"/>
    <w:rsid w:val="00F408A8"/>
    <w:rsid w:val="00F42C90"/>
    <w:rsid w:val="00F44904"/>
    <w:rsid w:val="00F47DE7"/>
    <w:rsid w:val="00F518BD"/>
    <w:rsid w:val="00F60B84"/>
    <w:rsid w:val="00F62D73"/>
    <w:rsid w:val="00F6534A"/>
    <w:rsid w:val="00F654A6"/>
    <w:rsid w:val="00F674C2"/>
    <w:rsid w:val="00F7341D"/>
    <w:rsid w:val="00F7361B"/>
    <w:rsid w:val="00F8783C"/>
    <w:rsid w:val="00F87862"/>
    <w:rsid w:val="00F92C4C"/>
    <w:rsid w:val="00F96159"/>
    <w:rsid w:val="00F97261"/>
    <w:rsid w:val="00FA5C60"/>
    <w:rsid w:val="00FA5DF1"/>
    <w:rsid w:val="00FB2888"/>
    <w:rsid w:val="00FB535E"/>
    <w:rsid w:val="00FB6220"/>
    <w:rsid w:val="00FC14F7"/>
    <w:rsid w:val="00FC57B4"/>
    <w:rsid w:val="00FC7F4D"/>
    <w:rsid w:val="00FD1645"/>
    <w:rsid w:val="00FD2614"/>
    <w:rsid w:val="00FD53B7"/>
    <w:rsid w:val="00FE36BF"/>
    <w:rsid w:val="00FE678E"/>
    <w:rsid w:val="00FF17BE"/>
    <w:rsid w:val="00FF1DAE"/>
    <w:rsid w:val="00FF2B4D"/>
    <w:rsid w:val="00FF57E0"/>
    <w:rsid w:val="00FF664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37BA400"/>
  <w15:docId w15:val="{ECAC2FD7-8573-4C8F-B052-38A95DCAE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nhideWhenUsed="1"/>
    <w:lsdException w:name="Table Grid 8" w:semiHidden="1" w:unhideWhenUsed="1"/>
    <w:lsdException w:name="Table List 1" w:semiHidden="1" w:unhideWhenUsed="1"/>
    <w:lsdException w:name="Table List 2" w:semiHidden="1" w:uiPriority="0"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D5C"/>
    <w:rPr>
      <w:rFonts w:ascii="Calibri" w:eastAsia="Calibri" w:hAnsi="Calibri" w:cs="Times New Roman"/>
    </w:rPr>
  </w:style>
  <w:style w:type="paragraph" w:styleId="Ttulo1">
    <w:name w:val="heading 1"/>
    <w:basedOn w:val="Normal"/>
    <w:next w:val="Normal"/>
    <w:link w:val="Ttulo1Car"/>
    <w:qFormat/>
    <w:rsid w:val="0088571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nhideWhenUsed/>
    <w:qFormat/>
    <w:rsid w:val="00DA62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qFormat/>
    <w:rsid w:val="00A10614"/>
    <w:pPr>
      <w:keepNext/>
      <w:spacing w:after="0" w:line="240" w:lineRule="auto"/>
      <w:jc w:val="both"/>
      <w:outlineLvl w:val="2"/>
    </w:pPr>
    <w:rPr>
      <w:rFonts w:ascii="Arial" w:eastAsia="Batang" w:hAnsi="Arial"/>
      <w:b/>
      <w:sz w:val="24"/>
      <w:szCs w:val="20"/>
      <w:lang w:val="es-ES_tradnl" w:eastAsia="es-ES"/>
    </w:rPr>
  </w:style>
  <w:style w:type="paragraph" w:styleId="Ttulo5">
    <w:name w:val="heading 5"/>
    <w:basedOn w:val="Normal"/>
    <w:next w:val="Normal"/>
    <w:link w:val="Ttulo5Car"/>
    <w:qFormat/>
    <w:rsid w:val="00672FF2"/>
    <w:pPr>
      <w:spacing w:before="240" w:after="60" w:line="240" w:lineRule="auto"/>
      <w:outlineLvl w:val="4"/>
    </w:pPr>
    <w:rPr>
      <w:rFonts w:ascii="Times New Roman" w:eastAsia="Times New Roman" w:hAnsi="Times New Roman"/>
      <w:b/>
      <w:bCs/>
      <w:i/>
      <w:iCs/>
      <w:sz w:val="26"/>
      <w:szCs w:val="26"/>
      <w:lang w:eastAsia="es-ES"/>
    </w:rPr>
  </w:style>
  <w:style w:type="paragraph" w:styleId="Ttulo6">
    <w:name w:val="heading 6"/>
    <w:basedOn w:val="Normal"/>
    <w:next w:val="Normal"/>
    <w:link w:val="Ttulo6Car"/>
    <w:semiHidden/>
    <w:unhideWhenUsed/>
    <w:qFormat/>
    <w:rsid w:val="00DA62C0"/>
    <w:pPr>
      <w:spacing w:before="240" w:after="60" w:line="240" w:lineRule="auto"/>
      <w:outlineLvl w:val="5"/>
    </w:pPr>
    <w:rPr>
      <w:rFonts w:eastAsia="Times New Roman"/>
      <w:b/>
      <w:bCs/>
      <w:lang w:eastAsia="es-ES"/>
    </w:rPr>
  </w:style>
  <w:style w:type="paragraph" w:styleId="Ttulo9">
    <w:name w:val="heading 9"/>
    <w:basedOn w:val="Normal"/>
    <w:next w:val="Normal"/>
    <w:link w:val="Ttulo9Car"/>
    <w:qFormat/>
    <w:rsid w:val="00672FF2"/>
    <w:pPr>
      <w:spacing w:before="240" w:after="60" w:line="240" w:lineRule="auto"/>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A5D5C"/>
    <w:rPr>
      <w:color w:val="996600"/>
      <w:u w:val="single"/>
    </w:rPr>
  </w:style>
  <w:style w:type="paragraph" w:styleId="Encabezado">
    <w:name w:val="header"/>
    <w:basedOn w:val="Normal"/>
    <w:link w:val="EncabezadoCar"/>
    <w:uiPriority w:val="99"/>
    <w:unhideWhenUsed/>
    <w:rsid w:val="009A5D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A5D5C"/>
    <w:rPr>
      <w:rFonts w:ascii="Calibri" w:eastAsia="Calibri" w:hAnsi="Calibri" w:cs="Times New Roman"/>
    </w:rPr>
  </w:style>
  <w:style w:type="paragraph" w:styleId="Piedepgina">
    <w:name w:val="footer"/>
    <w:basedOn w:val="Normal"/>
    <w:link w:val="PiedepginaCar"/>
    <w:unhideWhenUsed/>
    <w:rsid w:val="009A5D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A5D5C"/>
    <w:rPr>
      <w:rFonts w:ascii="Calibri" w:eastAsia="Calibri" w:hAnsi="Calibri" w:cs="Times New Roman"/>
    </w:rPr>
  </w:style>
  <w:style w:type="paragraph" w:styleId="Textoindependiente2">
    <w:name w:val="Body Text 2"/>
    <w:basedOn w:val="Normal"/>
    <w:link w:val="Textoindependiente2Car"/>
    <w:rsid w:val="009A5D5C"/>
    <w:pPr>
      <w:spacing w:after="0" w:line="240" w:lineRule="auto"/>
      <w:jc w:val="both"/>
    </w:pPr>
    <w:rPr>
      <w:sz w:val="20"/>
      <w:szCs w:val="20"/>
    </w:rPr>
  </w:style>
  <w:style w:type="character" w:customStyle="1" w:styleId="Textoindependiente2Car">
    <w:name w:val="Texto independiente 2 Car"/>
    <w:basedOn w:val="Fuentedeprrafopredeter"/>
    <w:link w:val="Textoindependiente2"/>
    <w:rsid w:val="009A5D5C"/>
    <w:rPr>
      <w:rFonts w:ascii="Calibri" w:eastAsia="Calibri" w:hAnsi="Calibri" w:cs="Times New Roman"/>
      <w:sz w:val="20"/>
      <w:szCs w:val="20"/>
    </w:rPr>
  </w:style>
  <w:style w:type="paragraph" w:styleId="Prrafodelista">
    <w:name w:val="List Paragraph"/>
    <w:aliases w:val="3,Titulo 2"/>
    <w:basedOn w:val="Normal"/>
    <w:link w:val="PrrafodelistaCar"/>
    <w:uiPriority w:val="34"/>
    <w:qFormat/>
    <w:rsid w:val="009A5D5C"/>
    <w:pPr>
      <w:ind w:left="720"/>
      <w:contextualSpacing/>
    </w:pPr>
  </w:style>
  <w:style w:type="character" w:customStyle="1" w:styleId="PrrafodelistaCar">
    <w:name w:val="Párrafo de lista Car"/>
    <w:aliases w:val="3 Car,Titulo 2 Car"/>
    <w:link w:val="Prrafodelista"/>
    <w:uiPriority w:val="34"/>
    <w:rsid w:val="009A5D5C"/>
    <w:rPr>
      <w:rFonts w:ascii="Calibri" w:eastAsia="Calibri" w:hAnsi="Calibri" w:cs="Times New Roman"/>
    </w:rPr>
  </w:style>
  <w:style w:type="paragraph" w:styleId="Sangradetextonormal">
    <w:name w:val="Body Text Indent"/>
    <w:basedOn w:val="Normal"/>
    <w:link w:val="SangradetextonormalCar"/>
    <w:uiPriority w:val="99"/>
    <w:semiHidden/>
    <w:unhideWhenUsed/>
    <w:rsid w:val="009A5D5C"/>
    <w:pPr>
      <w:spacing w:after="120"/>
      <w:ind w:left="283"/>
    </w:pPr>
  </w:style>
  <w:style w:type="character" w:customStyle="1" w:styleId="SangradetextonormalCar">
    <w:name w:val="Sangría de texto normal Car"/>
    <w:basedOn w:val="Fuentedeprrafopredeter"/>
    <w:link w:val="Sangradetextonormal"/>
    <w:uiPriority w:val="99"/>
    <w:semiHidden/>
    <w:rsid w:val="009A5D5C"/>
    <w:rPr>
      <w:rFonts w:ascii="Calibri" w:eastAsia="Calibri" w:hAnsi="Calibri" w:cs="Times New Roman"/>
    </w:rPr>
  </w:style>
  <w:style w:type="table" w:styleId="Tablaconcuadrcula">
    <w:name w:val="Table Grid"/>
    <w:basedOn w:val="Tablanormal"/>
    <w:uiPriority w:val="39"/>
    <w:rsid w:val="009A5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9A5D5C"/>
  </w:style>
  <w:style w:type="paragraph" w:styleId="NormalWeb">
    <w:name w:val="Normal (Web)"/>
    <w:basedOn w:val="Normal"/>
    <w:uiPriority w:val="99"/>
    <w:rsid w:val="00784DA0"/>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ListParagraph1">
    <w:name w:val="List Paragraph1"/>
    <w:basedOn w:val="Normal"/>
    <w:uiPriority w:val="99"/>
    <w:rsid w:val="00784DA0"/>
    <w:pPr>
      <w:spacing w:after="0" w:line="240" w:lineRule="auto"/>
      <w:ind w:left="708"/>
    </w:pPr>
    <w:rPr>
      <w:rFonts w:ascii="Times New Roman" w:eastAsia="Times New Roman" w:hAnsi="Times New Roman"/>
      <w:sz w:val="20"/>
      <w:szCs w:val="20"/>
      <w:lang w:val="es-ES_tradnl" w:eastAsia="es-ES"/>
    </w:rPr>
  </w:style>
  <w:style w:type="paragraph" w:customStyle="1" w:styleId="Default">
    <w:name w:val="Default"/>
    <w:rsid w:val="00A837C0"/>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unhideWhenUsed/>
    <w:rsid w:val="006F227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6F2274"/>
    <w:rPr>
      <w:rFonts w:ascii="Tahoma" w:eastAsia="Calibri" w:hAnsi="Tahoma" w:cs="Tahoma"/>
      <w:sz w:val="16"/>
      <w:szCs w:val="16"/>
    </w:rPr>
  </w:style>
  <w:style w:type="paragraph" w:customStyle="1" w:styleId="EstiloCourierNewJustificadoAntes6pto">
    <w:name w:val="Estilo Courier New Justificado Antes:  6 pto"/>
    <w:rsid w:val="006F2274"/>
    <w:pPr>
      <w:spacing w:before="120" w:after="0" w:line="240" w:lineRule="auto"/>
    </w:pPr>
    <w:rPr>
      <w:rFonts w:ascii="Courier New" w:eastAsia="Times New Roman" w:hAnsi="Courier New" w:cs="Times New Roman"/>
      <w:sz w:val="20"/>
      <w:szCs w:val="20"/>
      <w:lang w:val="es-ES_tradnl" w:eastAsia="es-ES"/>
    </w:rPr>
  </w:style>
  <w:style w:type="character" w:customStyle="1" w:styleId="Ttulo3Car">
    <w:name w:val="Título 3 Car"/>
    <w:basedOn w:val="Fuentedeprrafopredeter"/>
    <w:link w:val="Ttulo3"/>
    <w:rsid w:val="00A10614"/>
    <w:rPr>
      <w:rFonts w:ascii="Arial" w:eastAsia="Batang" w:hAnsi="Arial" w:cs="Times New Roman"/>
      <w:b/>
      <w:sz w:val="24"/>
      <w:szCs w:val="20"/>
      <w:lang w:val="es-ES_tradnl" w:eastAsia="es-ES"/>
    </w:rPr>
  </w:style>
  <w:style w:type="paragraph" w:styleId="Sinespaciado">
    <w:name w:val="No Spacing"/>
    <w:link w:val="SinespaciadoCar"/>
    <w:uiPriority w:val="1"/>
    <w:qFormat/>
    <w:rsid w:val="00A10614"/>
    <w:pPr>
      <w:spacing w:after="0" w:line="240" w:lineRule="auto"/>
    </w:pPr>
    <w:rPr>
      <w:rFonts w:ascii="Calibri" w:eastAsia="Times New Roman" w:hAnsi="Calibri" w:cs="Times New Roman"/>
      <w:lang w:eastAsia="es-CR"/>
    </w:rPr>
  </w:style>
  <w:style w:type="character" w:styleId="Refdecomentario">
    <w:name w:val="annotation reference"/>
    <w:basedOn w:val="Fuentedeprrafopredeter"/>
    <w:uiPriority w:val="99"/>
    <w:semiHidden/>
    <w:unhideWhenUsed/>
    <w:rsid w:val="00BF6A8D"/>
    <w:rPr>
      <w:sz w:val="16"/>
      <w:szCs w:val="16"/>
    </w:rPr>
  </w:style>
  <w:style w:type="paragraph" w:styleId="Textocomentario">
    <w:name w:val="annotation text"/>
    <w:basedOn w:val="Normal"/>
    <w:link w:val="TextocomentarioCar"/>
    <w:uiPriority w:val="99"/>
    <w:unhideWhenUsed/>
    <w:rsid w:val="00BF6A8D"/>
    <w:pPr>
      <w:spacing w:line="240" w:lineRule="auto"/>
    </w:pPr>
    <w:rPr>
      <w:sz w:val="20"/>
      <w:szCs w:val="20"/>
    </w:rPr>
  </w:style>
  <w:style w:type="character" w:customStyle="1" w:styleId="TextocomentarioCar">
    <w:name w:val="Texto comentario Car"/>
    <w:basedOn w:val="Fuentedeprrafopredeter"/>
    <w:link w:val="Textocomentario"/>
    <w:uiPriority w:val="99"/>
    <w:rsid w:val="00BF6A8D"/>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BF6A8D"/>
    <w:rPr>
      <w:b/>
      <w:bCs/>
    </w:rPr>
  </w:style>
  <w:style w:type="character" w:customStyle="1" w:styleId="AsuntodelcomentarioCar">
    <w:name w:val="Asunto del comentario Car"/>
    <w:basedOn w:val="TextocomentarioCar"/>
    <w:link w:val="Asuntodelcomentario"/>
    <w:uiPriority w:val="99"/>
    <w:semiHidden/>
    <w:rsid w:val="00BF6A8D"/>
    <w:rPr>
      <w:rFonts w:ascii="Calibri" w:eastAsia="Calibri" w:hAnsi="Calibri" w:cs="Times New Roman"/>
      <w:b/>
      <w:bCs/>
      <w:sz w:val="20"/>
      <w:szCs w:val="20"/>
    </w:rPr>
  </w:style>
  <w:style w:type="paragraph" w:styleId="Textonotapie">
    <w:name w:val="footnote text"/>
    <w:basedOn w:val="Normal"/>
    <w:link w:val="TextonotapieCar"/>
    <w:uiPriority w:val="99"/>
    <w:unhideWhenUsed/>
    <w:rsid w:val="00E362E4"/>
    <w:pPr>
      <w:spacing w:after="0" w:line="240" w:lineRule="auto"/>
    </w:pPr>
    <w:rPr>
      <w:sz w:val="20"/>
      <w:szCs w:val="20"/>
    </w:rPr>
  </w:style>
  <w:style w:type="character" w:customStyle="1" w:styleId="TextonotapieCar">
    <w:name w:val="Texto nota pie Car"/>
    <w:basedOn w:val="Fuentedeprrafopredeter"/>
    <w:link w:val="Textonotapie"/>
    <w:uiPriority w:val="99"/>
    <w:rsid w:val="00E362E4"/>
    <w:rPr>
      <w:rFonts w:ascii="Calibri" w:eastAsia="Calibri" w:hAnsi="Calibri" w:cs="Times New Roman"/>
      <w:sz w:val="20"/>
      <w:szCs w:val="20"/>
    </w:rPr>
  </w:style>
  <w:style w:type="character" w:styleId="Refdenotaalpie">
    <w:name w:val="footnote reference"/>
    <w:basedOn w:val="Fuentedeprrafopredeter"/>
    <w:uiPriority w:val="99"/>
    <w:unhideWhenUsed/>
    <w:rsid w:val="00E362E4"/>
    <w:rPr>
      <w:vertAlign w:val="superscript"/>
    </w:rPr>
  </w:style>
  <w:style w:type="paragraph" w:styleId="Revisin">
    <w:name w:val="Revision"/>
    <w:hidden/>
    <w:uiPriority w:val="99"/>
    <w:semiHidden/>
    <w:rsid w:val="00CC2C3A"/>
    <w:pPr>
      <w:spacing w:after="0" w:line="240" w:lineRule="auto"/>
    </w:pPr>
    <w:rPr>
      <w:rFonts w:ascii="Calibri" w:eastAsia="Calibri" w:hAnsi="Calibri" w:cs="Times New Roman"/>
    </w:rPr>
  </w:style>
  <w:style w:type="character" w:customStyle="1" w:styleId="Ttulo1Car">
    <w:name w:val="Título 1 Car"/>
    <w:basedOn w:val="Fuentedeprrafopredeter"/>
    <w:link w:val="Ttulo1"/>
    <w:uiPriority w:val="99"/>
    <w:rsid w:val="00885719"/>
    <w:rPr>
      <w:rFonts w:asciiTheme="majorHAnsi" w:eastAsiaTheme="majorEastAsia" w:hAnsiTheme="majorHAnsi" w:cstheme="majorBidi"/>
      <w:color w:val="365F91" w:themeColor="accent1" w:themeShade="BF"/>
      <w:sz w:val="32"/>
      <w:szCs w:val="32"/>
    </w:rPr>
  </w:style>
  <w:style w:type="paragraph" w:customStyle="1" w:styleId="Pa5">
    <w:name w:val="Pa5"/>
    <w:basedOn w:val="Normal"/>
    <w:next w:val="Normal"/>
    <w:uiPriority w:val="99"/>
    <w:rsid w:val="00885719"/>
    <w:pPr>
      <w:autoSpaceDE w:val="0"/>
      <w:autoSpaceDN w:val="0"/>
      <w:adjustRightInd w:val="0"/>
      <w:spacing w:after="0" w:line="201" w:lineRule="atLeast"/>
    </w:pPr>
    <w:rPr>
      <w:rFonts w:ascii="Times New Roman" w:eastAsia="MS Mincho" w:hAnsi="Times New Roman"/>
      <w:sz w:val="24"/>
      <w:szCs w:val="24"/>
    </w:rPr>
  </w:style>
  <w:style w:type="character" w:customStyle="1" w:styleId="Ttulo6Car">
    <w:name w:val="Título 6 Car"/>
    <w:basedOn w:val="Fuentedeprrafopredeter"/>
    <w:link w:val="Ttulo6"/>
    <w:semiHidden/>
    <w:rsid w:val="00DA62C0"/>
    <w:rPr>
      <w:rFonts w:ascii="Calibri" w:eastAsia="Times New Roman" w:hAnsi="Calibri" w:cs="Times New Roman"/>
      <w:b/>
      <w:bCs/>
      <w:lang w:eastAsia="es-ES"/>
    </w:rPr>
  </w:style>
  <w:style w:type="paragraph" w:styleId="Textoindependiente">
    <w:name w:val="Body Text"/>
    <w:basedOn w:val="Normal"/>
    <w:link w:val="TextoindependienteCar"/>
    <w:unhideWhenUsed/>
    <w:rsid w:val="00DA62C0"/>
    <w:pPr>
      <w:spacing w:after="120"/>
    </w:pPr>
  </w:style>
  <w:style w:type="character" w:customStyle="1" w:styleId="TextoindependienteCar">
    <w:name w:val="Texto independiente Car"/>
    <w:basedOn w:val="Fuentedeprrafopredeter"/>
    <w:link w:val="Textoindependiente"/>
    <w:rsid w:val="00DA62C0"/>
    <w:rPr>
      <w:rFonts w:ascii="Calibri" w:eastAsia="Calibri" w:hAnsi="Calibri" w:cs="Times New Roman"/>
    </w:rPr>
  </w:style>
  <w:style w:type="character" w:customStyle="1" w:styleId="Ttulo2Car">
    <w:name w:val="Título 2 Car"/>
    <w:basedOn w:val="Fuentedeprrafopredeter"/>
    <w:link w:val="Ttulo2"/>
    <w:rsid w:val="00DA62C0"/>
    <w:rPr>
      <w:rFonts w:asciiTheme="majorHAnsi" w:eastAsiaTheme="majorEastAsia" w:hAnsiTheme="majorHAnsi" w:cstheme="majorBidi"/>
      <w:b/>
      <w:bCs/>
      <w:color w:val="4F81BD" w:themeColor="accent1"/>
      <w:sz w:val="26"/>
      <w:szCs w:val="26"/>
    </w:rPr>
  </w:style>
  <w:style w:type="character" w:customStyle="1" w:styleId="Ttulo5Car">
    <w:name w:val="Título 5 Car"/>
    <w:basedOn w:val="Fuentedeprrafopredeter"/>
    <w:link w:val="Ttulo5"/>
    <w:rsid w:val="00672FF2"/>
    <w:rPr>
      <w:rFonts w:ascii="Times New Roman" w:eastAsia="Times New Roman" w:hAnsi="Times New Roman" w:cs="Times New Roman"/>
      <w:b/>
      <w:bCs/>
      <w:i/>
      <w:iCs/>
      <w:sz w:val="26"/>
      <w:szCs w:val="26"/>
      <w:lang w:eastAsia="es-ES"/>
    </w:rPr>
  </w:style>
  <w:style w:type="character" w:customStyle="1" w:styleId="Ttulo9Car">
    <w:name w:val="Título 9 Car"/>
    <w:basedOn w:val="Fuentedeprrafopredeter"/>
    <w:link w:val="Ttulo9"/>
    <w:rsid w:val="00672FF2"/>
    <w:rPr>
      <w:rFonts w:ascii="Arial" w:eastAsia="Times New Roman" w:hAnsi="Arial" w:cs="Arial"/>
      <w:lang w:eastAsia="es-ES"/>
    </w:rPr>
  </w:style>
  <w:style w:type="paragraph" w:customStyle="1" w:styleId="CharChar1">
    <w:name w:val="Char Char1"/>
    <w:basedOn w:val="Normal"/>
    <w:rsid w:val="00672FF2"/>
    <w:pPr>
      <w:spacing w:after="160" w:line="240" w:lineRule="exact"/>
    </w:pPr>
    <w:rPr>
      <w:rFonts w:ascii="Arial" w:eastAsia="Times New Roman" w:hAnsi="Arial"/>
      <w:sz w:val="20"/>
      <w:szCs w:val="20"/>
      <w:lang w:val="en-US"/>
    </w:rPr>
  </w:style>
  <w:style w:type="paragraph" w:customStyle="1" w:styleId="Prrafodelista1">
    <w:name w:val="Párrafo de lista1"/>
    <w:basedOn w:val="Normal"/>
    <w:qFormat/>
    <w:rsid w:val="00672FF2"/>
    <w:pPr>
      <w:spacing w:after="0" w:line="240" w:lineRule="auto"/>
      <w:ind w:left="708"/>
    </w:pPr>
    <w:rPr>
      <w:rFonts w:ascii="Times New Roman" w:eastAsia="Times New Roman" w:hAnsi="Times New Roman"/>
      <w:sz w:val="24"/>
      <w:szCs w:val="24"/>
      <w:lang w:val="es-ES" w:eastAsia="es-ES"/>
    </w:rPr>
  </w:style>
  <w:style w:type="character" w:customStyle="1" w:styleId="spelle">
    <w:name w:val="spelle"/>
    <w:basedOn w:val="Fuentedeprrafopredeter"/>
    <w:rsid w:val="00672FF2"/>
  </w:style>
  <w:style w:type="paragraph" w:customStyle="1" w:styleId="msolistparagraph0">
    <w:name w:val="msolistparagraph"/>
    <w:basedOn w:val="Normal"/>
    <w:rsid w:val="00672FF2"/>
    <w:pPr>
      <w:spacing w:after="0" w:line="240" w:lineRule="auto"/>
      <w:ind w:left="720"/>
    </w:pPr>
    <w:rPr>
      <w:rFonts w:ascii="Times New Roman" w:eastAsia="Times New Roman" w:hAnsi="Times New Roman"/>
      <w:sz w:val="24"/>
      <w:szCs w:val="24"/>
      <w:lang w:val="es-ES" w:eastAsia="es-ES"/>
    </w:rPr>
  </w:style>
  <w:style w:type="character" w:styleId="nfasis">
    <w:name w:val="Emphasis"/>
    <w:qFormat/>
    <w:rsid w:val="00672FF2"/>
    <w:rPr>
      <w:i/>
      <w:iCs/>
    </w:rPr>
  </w:style>
  <w:style w:type="table" w:styleId="Tablaconlista2">
    <w:name w:val="Table List 2"/>
    <w:basedOn w:val="Tablanormal"/>
    <w:rsid w:val="00672FF2"/>
    <w:pPr>
      <w:spacing w:after="0" w:line="240" w:lineRule="auto"/>
    </w:pPr>
    <w:rPr>
      <w:rFonts w:ascii="Times New Roman" w:eastAsia="Times New Roman" w:hAnsi="Times New Roman" w:cs="Times New Roman"/>
      <w:sz w:val="20"/>
      <w:szCs w:val="20"/>
      <w:lang w:eastAsia="es-C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Char">
    <w:name w:val="Body Text Char"/>
    <w:locked/>
    <w:rsid w:val="00672FF2"/>
    <w:rPr>
      <w:rFonts w:ascii="Arial" w:hAnsi="Arial"/>
      <w:sz w:val="24"/>
      <w:lang w:val="es-CR" w:eastAsia="es-ES" w:bidi="ar-SA"/>
    </w:rPr>
  </w:style>
  <w:style w:type="table" w:customStyle="1" w:styleId="Cuadrculadetablaclara1">
    <w:name w:val="Cuadrícula de tabla clara1"/>
    <w:basedOn w:val="Tablanormal"/>
    <w:uiPriority w:val="40"/>
    <w:rsid w:val="00672FF2"/>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DC1">
    <w:name w:val="toc 1"/>
    <w:basedOn w:val="Normal"/>
    <w:next w:val="Normal"/>
    <w:autoRedefine/>
    <w:uiPriority w:val="39"/>
    <w:rsid w:val="00672FF2"/>
    <w:pPr>
      <w:spacing w:after="0" w:line="240" w:lineRule="auto"/>
    </w:pPr>
    <w:rPr>
      <w:rFonts w:ascii="Times New Roman" w:eastAsia="Times New Roman" w:hAnsi="Times New Roman"/>
      <w:sz w:val="20"/>
      <w:szCs w:val="20"/>
      <w:lang w:eastAsia="es-ES"/>
    </w:rPr>
  </w:style>
  <w:style w:type="paragraph" w:styleId="TDC2">
    <w:name w:val="toc 2"/>
    <w:basedOn w:val="Normal"/>
    <w:next w:val="Normal"/>
    <w:autoRedefine/>
    <w:uiPriority w:val="39"/>
    <w:rsid w:val="00672FF2"/>
    <w:pPr>
      <w:tabs>
        <w:tab w:val="left" w:pos="660"/>
        <w:tab w:val="right" w:leader="dot" w:pos="8830"/>
      </w:tabs>
      <w:spacing w:after="0" w:line="240" w:lineRule="auto"/>
      <w:ind w:left="200"/>
    </w:pPr>
    <w:rPr>
      <w:rFonts w:ascii="Times New Roman" w:eastAsia="Times New Roman" w:hAnsi="Times New Roman"/>
      <w:noProof/>
      <w:sz w:val="20"/>
      <w:szCs w:val="20"/>
      <w:lang w:eastAsia="es-ES"/>
    </w:rPr>
  </w:style>
  <w:style w:type="paragraph" w:styleId="TDC3">
    <w:name w:val="toc 3"/>
    <w:basedOn w:val="Normal"/>
    <w:next w:val="Normal"/>
    <w:autoRedefine/>
    <w:uiPriority w:val="39"/>
    <w:rsid w:val="00672FF2"/>
    <w:pPr>
      <w:spacing w:after="0" w:line="240" w:lineRule="auto"/>
      <w:ind w:left="400"/>
    </w:pPr>
    <w:rPr>
      <w:rFonts w:ascii="Times New Roman" w:eastAsia="Times New Roman" w:hAnsi="Times New Roman"/>
      <w:sz w:val="20"/>
      <w:szCs w:val="20"/>
      <w:lang w:eastAsia="es-ES"/>
    </w:rPr>
  </w:style>
  <w:style w:type="paragraph" w:customStyle="1" w:styleId="Estilo">
    <w:name w:val="Estilo"/>
    <w:rsid w:val="00672FF2"/>
    <w:pPr>
      <w:widowControl w:val="0"/>
      <w:autoSpaceDE w:val="0"/>
      <w:autoSpaceDN w:val="0"/>
      <w:adjustRightInd w:val="0"/>
      <w:spacing w:after="0" w:line="240" w:lineRule="auto"/>
    </w:pPr>
    <w:rPr>
      <w:rFonts w:ascii="Arial" w:eastAsia="Times New Roman" w:hAnsi="Arial" w:cs="Arial"/>
      <w:sz w:val="24"/>
      <w:szCs w:val="24"/>
      <w:lang w:eastAsia="es-CR"/>
    </w:rPr>
  </w:style>
  <w:style w:type="paragraph" w:customStyle="1" w:styleId="Textodecampo">
    <w:name w:val="Texto de campo"/>
    <w:basedOn w:val="Normal"/>
    <w:rsid w:val="00672FF2"/>
    <w:pPr>
      <w:spacing w:before="60" w:after="60" w:line="240" w:lineRule="auto"/>
    </w:pPr>
    <w:rPr>
      <w:rFonts w:ascii="Arial" w:eastAsia="Times New Roman" w:hAnsi="Arial" w:cs="Arial"/>
      <w:sz w:val="19"/>
      <w:szCs w:val="19"/>
      <w:lang w:val="en-US" w:bidi="en-US"/>
    </w:rPr>
  </w:style>
  <w:style w:type="table" w:styleId="Cuadrculaclara-nfasis5">
    <w:name w:val="Light Grid Accent 5"/>
    <w:basedOn w:val="Tablanormal"/>
    <w:uiPriority w:val="62"/>
    <w:rsid w:val="00672FF2"/>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SinespaciadoCar">
    <w:name w:val="Sin espaciado Car"/>
    <w:link w:val="Sinespaciado"/>
    <w:uiPriority w:val="1"/>
    <w:rsid w:val="00672FF2"/>
    <w:rPr>
      <w:rFonts w:ascii="Calibri" w:eastAsia="Times New Roman" w:hAnsi="Calibri" w:cs="Times New Roman"/>
      <w:lang w:eastAsia="es-CR"/>
    </w:rPr>
  </w:style>
  <w:style w:type="paragraph" w:customStyle="1" w:styleId="noparagraphstyle">
    <w:name w:val="noparagraphstyle"/>
    <w:basedOn w:val="Normal"/>
    <w:rsid w:val="00672FF2"/>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tulo">
    <w:name w:val="Title"/>
    <w:basedOn w:val="Normal"/>
    <w:link w:val="TtuloCar"/>
    <w:qFormat/>
    <w:rsid w:val="00672FF2"/>
    <w:pPr>
      <w:spacing w:after="0" w:line="240" w:lineRule="auto"/>
      <w:jc w:val="center"/>
    </w:pPr>
    <w:rPr>
      <w:rFonts w:ascii="Arial" w:eastAsia="Times New Roman" w:hAnsi="Arial" w:cs="Arial"/>
      <w:sz w:val="24"/>
      <w:szCs w:val="20"/>
      <w:lang w:val="es-ES" w:eastAsia="es-ES"/>
    </w:rPr>
  </w:style>
  <w:style w:type="character" w:customStyle="1" w:styleId="TtuloCar">
    <w:name w:val="Título Car"/>
    <w:basedOn w:val="Fuentedeprrafopredeter"/>
    <w:link w:val="Ttulo"/>
    <w:rsid w:val="00672FF2"/>
    <w:rPr>
      <w:rFonts w:ascii="Arial" w:eastAsia="Times New Roman" w:hAnsi="Arial" w:cs="Arial"/>
      <w:sz w:val="24"/>
      <w:szCs w:val="20"/>
      <w:lang w:val="es-ES" w:eastAsia="es-ES"/>
    </w:rPr>
  </w:style>
  <w:style w:type="table" w:styleId="Tablaclsica1">
    <w:name w:val="Table Classic 1"/>
    <w:basedOn w:val="Tablanormal"/>
    <w:rsid w:val="00672FF2"/>
    <w:pPr>
      <w:spacing w:after="0" w:line="240" w:lineRule="auto"/>
    </w:pPr>
    <w:rPr>
      <w:rFonts w:ascii="Times New Roman" w:eastAsia="Times New Roman" w:hAnsi="Times New Roman" w:cs="Times New Roman"/>
      <w:sz w:val="20"/>
      <w:szCs w:val="20"/>
      <w:lang w:eastAsia="es-C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rsid w:val="00672FF2"/>
    <w:pPr>
      <w:spacing w:after="0" w:line="240" w:lineRule="auto"/>
    </w:pPr>
    <w:rPr>
      <w:rFonts w:ascii="Times New Roman" w:eastAsia="Times New Roman" w:hAnsi="Times New Roman" w:cs="Times New Roman"/>
      <w:sz w:val="20"/>
      <w:szCs w:val="20"/>
      <w:lang w:eastAsia="es-C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
    <w:name w:val="2"/>
    <w:basedOn w:val="Normal"/>
    <w:next w:val="Ttulo"/>
    <w:qFormat/>
    <w:rsid w:val="00672FF2"/>
    <w:pPr>
      <w:spacing w:after="0" w:line="240" w:lineRule="auto"/>
      <w:jc w:val="center"/>
    </w:pPr>
    <w:rPr>
      <w:rFonts w:ascii="Arial" w:eastAsia="Times New Roman" w:hAnsi="Arial"/>
      <w:b/>
      <w:sz w:val="32"/>
      <w:szCs w:val="20"/>
      <w:lang w:eastAsia="es-ES"/>
    </w:rPr>
  </w:style>
  <w:style w:type="paragraph" w:customStyle="1" w:styleId="1">
    <w:name w:val="1"/>
    <w:basedOn w:val="Normal"/>
    <w:next w:val="Ttulo"/>
    <w:qFormat/>
    <w:rsid w:val="00672FF2"/>
    <w:pPr>
      <w:spacing w:after="0" w:line="240" w:lineRule="auto"/>
      <w:jc w:val="center"/>
    </w:pPr>
    <w:rPr>
      <w:rFonts w:ascii="Arial" w:eastAsia="Times New Roman" w:hAnsi="Arial"/>
      <w:b/>
      <w:sz w:val="32"/>
      <w:szCs w:val="20"/>
      <w:lang w:eastAsia="es-ES"/>
    </w:rPr>
  </w:style>
  <w:style w:type="table" w:styleId="Tablabsica2">
    <w:name w:val="Table Simple 2"/>
    <w:basedOn w:val="Tablanormal"/>
    <w:rsid w:val="00672FF2"/>
    <w:pPr>
      <w:spacing w:after="0" w:line="240" w:lineRule="auto"/>
    </w:pPr>
    <w:rPr>
      <w:rFonts w:ascii="Times New Roman" w:eastAsia="Times New Roman" w:hAnsi="Times New Roman" w:cs="Times New Roman"/>
      <w:sz w:val="20"/>
      <w:szCs w:val="20"/>
      <w:lang w:eastAsia="es-C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1">
    <w:name w:val="Table Simple 1"/>
    <w:basedOn w:val="Tablanormal"/>
    <w:rsid w:val="00672FF2"/>
    <w:pPr>
      <w:spacing w:after="0" w:line="240" w:lineRule="auto"/>
    </w:pPr>
    <w:rPr>
      <w:rFonts w:ascii="Times New Roman" w:eastAsia="Times New Roman" w:hAnsi="Times New Roman" w:cs="Times New Roman"/>
      <w:sz w:val="20"/>
      <w:szCs w:val="20"/>
      <w:lang w:eastAsia="es-C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conefectos3D3">
    <w:name w:val="Table 3D effects 3"/>
    <w:basedOn w:val="Tablanormal"/>
    <w:rsid w:val="00672FF2"/>
    <w:pPr>
      <w:spacing w:after="0" w:line="240" w:lineRule="auto"/>
    </w:pPr>
    <w:rPr>
      <w:rFonts w:ascii="Times New Roman" w:eastAsia="Times New Roman" w:hAnsi="Times New Roman" w:cs="Times New Roman"/>
      <w:sz w:val="20"/>
      <w:szCs w:val="20"/>
      <w:lang w:eastAsia="es-C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tuloTDC">
    <w:name w:val="TOC Heading"/>
    <w:basedOn w:val="Ttulo1"/>
    <w:next w:val="Normal"/>
    <w:uiPriority w:val="39"/>
    <w:semiHidden/>
    <w:unhideWhenUsed/>
    <w:qFormat/>
    <w:rsid w:val="00672FF2"/>
    <w:pPr>
      <w:spacing w:before="480"/>
      <w:outlineLvl w:val="9"/>
    </w:pPr>
    <w:rPr>
      <w:rFonts w:ascii="Cambria" w:eastAsia="Times New Roman" w:hAnsi="Cambria" w:cs="Times New Roman"/>
      <w:b/>
      <w:bCs/>
      <w:color w:val="365F91"/>
      <w:sz w:val="28"/>
      <w:szCs w:val="28"/>
      <w:lang w:eastAsia="es-CR"/>
    </w:rPr>
  </w:style>
  <w:style w:type="paragraph" w:styleId="TDC4">
    <w:name w:val="toc 4"/>
    <w:basedOn w:val="Normal"/>
    <w:next w:val="Normal"/>
    <w:autoRedefine/>
    <w:uiPriority w:val="39"/>
    <w:unhideWhenUsed/>
    <w:rsid w:val="00672FF2"/>
    <w:pPr>
      <w:spacing w:after="100"/>
      <w:ind w:left="660"/>
    </w:pPr>
    <w:rPr>
      <w:rFonts w:eastAsia="Times New Roman"/>
      <w:lang w:eastAsia="es-CR"/>
    </w:rPr>
  </w:style>
  <w:style w:type="paragraph" w:styleId="TDC5">
    <w:name w:val="toc 5"/>
    <w:basedOn w:val="Normal"/>
    <w:next w:val="Normal"/>
    <w:autoRedefine/>
    <w:uiPriority w:val="39"/>
    <w:unhideWhenUsed/>
    <w:rsid w:val="00672FF2"/>
    <w:pPr>
      <w:spacing w:after="100"/>
      <w:ind w:left="880"/>
    </w:pPr>
    <w:rPr>
      <w:rFonts w:eastAsia="Times New Roman"/>
      <w:lang w:eastAsia="es-CR"/>
    </w:rPr>
  </w:style>
  <w:style w:type="paragraph" w:styleId="TDC6">
    <w:name w:val="toc 6"/>
    <w:basedOn w:val="Normal"/>
    <w:next w:val="Normal"/>
    <w:autoRedefine/>
    <w:uiPriority w:val="39"/>
    <w:unhideWhenUsed/>
    <w:rsid w:val="00672FF2"/>
    <w:pPr>
      <w:spacing w:after="100"/>
      <w:ind w:left="1100"/>
    </w:pPr>
    <w:rPr>
      <w:rFonts w:eastAsia="Times New Roman"/>
      <w:lang w:eastAsia="es-CR"/>
    </w:rPr>
  </w:style>
  <w:style w:type="paragraph" w:styleId="TDC7">
    <w:name w:val="toc 7"/>
    <w:basedOn w:val="Normal"/>
    <w:next w:val="Normal"/>
    <w:autoRedefine/>
    <w:uiPriority w:val="39"/>
    <w:unhideWhenUsed/>
    <w:rsid w:val="00672FF2"/>
    <w:pPr>
      <w:spacing w:after="100"/>
      <w:ind w:left="1320"/>
    </w:pPr>
    <w:rPr>
      <w:rFonts w:eastAsia="Times New Roman"/>
      <w:lang w:eastAsia="es-CR"/>
    </w:rPr>
  </w:style>
  <w:style w:type="paragraph" w:styleId="TDC8">
    <w:name w:val="toc 8"/>
    <w:basedOn w:val="Normal"/>
    <w:next w:val="Normal"/>
    <w:autoRedefine/>
    <w:uiPriority w:val="39"/>
    <w:unhideWhenUsed/>
    <w:rsid w:val="00672FF2"/>
    <w:pPr>
      <w:spacing w:after="100"/>
      <w:ind w:left="1540"/>
    </w:pPr>
    <w:rPr>
      <w:rFonts w:eastAsia="Times New Roman"/>
      <w:lang w:eastAsia="es-CR"/>
    </w:rPr>
  </w:style>
  <w:style w:type="paragraph" w:styleId="TDC9">
    <w:name w:val="toc 9"/>
    <w:basedOn w:val="Normal"/>
    <w:next w:val="Normal"/>
    <w:autoRedefine/>
    <w:uiPriority w:val="39"/>
    <w:unhideWhenUsed/>
    <w:rsid w:val="00672FF2"/>
    <w:pPr>
      <w:spacing w:after="100"/>
      <w:ind w:left="1760"/>
    </w:pPr>
    <w:rPr>
      <w:rFonts w:eastAsia="Times New Roman"/>
      <w:lang w:eastAsia="es-CR"/>
    </w:rPr>
  </w:style>
  <w:style w:type="table" w:styleId="Tablaconcuadrcula2">
    <w:name w:val="Table Grid 2"/>
    <w:basedOn w:val="Tablanormal"/>
    <w:rsid w:val="00672FF2"/>
    <w:pPr>
      <w:spacing w:after="0" w:line="240" w:lineRule="auto"/>
    </w:pPr>
    <w:rPr>
      <w:rFonts w:ascii="Times New Roman" w:eastAsia="Times New Roman" w:hAnsi="Times New Roman" w:cs="Times New Roman"/>
      <w:sz w:val="20"/>
      <w:szCs w:val="20"/>
      <w:lang w:eastAsia="es-C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rsid w:val="00672FF2"/>
    <w:pPr>
      <w:spacing w:after="0" w:line="240" w:lineRule="auto"/>
    </w:pPr>
    <w:rPr>
      <w:rFonts w:ascii="Times New Roman" w:eastAsia="Times New Roman" w:hAnsi="Times New Roman" w:cs="Times New Roman"/>
      <w:sz w:val="20"/>
      <w:szCs w:val="20"/>
      <w:lang w:eastAsia="es-C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lista3">
    <w:name w:val="Table List 3"/>
    <w:basedOn w:val="Tablanormal"/>
    <w:rsid w:val="00672FF2"/>
    <w:pPr>
      <w:spacing w:after="0" w:line="240" w:lineRule="auto"/>
    </w:pPr>
    <w:rPr>
      <w:rFonts w:ascii="Times New Roman" w:eastAsia="Times New Roman" w:hAnsi="Times New Roman" w:cs="Times New Roman"/>
      <w:sz w:val="20"/>
      <w:szCs w:val="20"/>
      <w:lang w:eastAsia="es-C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cuadrcula1">
    <w:name w:val="Table Grid 1"/>
    <w:basedOn w:val="Tablanormal"/>
    <w:rsid w:val="00672FF2"/>
    <w:pPr>
      <w:spacing w:after="0" w:line="240" w:lineRule="auto"/>
    </w:pPr>
    <w:rPr>
      <w:rFonts w:ascii="Times New Roman" w:eastAsia="Times New Roman" w:hAnsi="Times New Roman" w:cs="Times New Roman"/>
      <w:sz w:val="20"/>
      <w:szCs w:val="20"/>
      <w:lang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3">
    <w:name w:val="Table Grid 3"/>
    <w:basedOn w:val="Tablanormal"/>
    <w:rsid w:val="00672FF2"/>
    <w:pPr>
      <w:spacing w:after="0" w:line="240" w:lineRule="auto"/>
    </w:pPr>
    <w:rPr>
      <w:rFonts w:ascii="Times New Roman" w:eastAsia="Times New Roman" w:hAnsi="Times New Roman" w:cs="Times New Roman"/>
      <w:sz w:val="20"/>
      <w:szCs w:val="20"/>
      <w:lang w:eastAsia="es-C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6">
    <w:name w:val="Table Grid 6"/>
    <w:basedOn w:val="Tablanormal"/>
    <w:rsid w:val="00672FF2"/>
    <w:pPr>
      <w:spacing w:after="0" w:line="240" w:lineRule="auto"/>
    </w:pPr>
    <w:rPr>
      <w:rFonts w:ascii="Times New Roman" w:eastAsia="Times New Roman" w:hAnsi="Times New Roman" w:cs="Times New Roman"/>
      <w:sz w:val="20"/>
      <w:szCs w:val="20"/>
      <w:lang w:eastAsia="es-C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harChar10">
    <w:name w:val="Char Char1"/>
    <w:basedOn w:val="Normal"/>
    <w:rsid w:val="00672FF2"/>
    <w:pPr>
      <w:spacing w:after="160" w:line="240" w:lineRule="exact"/>
    </w:pPr>
    <w:rPr>
      <w:rFonts w:ascii="Arial" w:eastAsia="Times New Roman" w:hAnsi="Arial"/>
      <w:sz w:val="20"/>
      <w:szCs w:val="20"/>
      <w:lang w:val="en-US"/>
    </w:rPr>
  </w:style>
  <w:style w:type="paragraph" w:customStyle="1" w:styleId="Prrafodelista10">
    <w:name w:val="Párrafo de lista1"/>
    <w:basedOn w:val="Normal"/>
    <w:qFormat/>
    <w:rsid w:val="00672FF2"/>
    <w:pPr>
      <w:spacing w:after="0" w:line="240" w:lineRule="auto"/>
      <w:ind w:left="708"/>
    </w:pPr>
    <w:rPr>
      <w:rFonts w:ascii="Times New Roman" w:eastAsia="Times New Roman" w:hAnsi="Times New Roman"/>
      <w:sz w:val="24"/>
      <w:szCs w:val="24"/>
      <w:lang w:val="es-ES" w:eastAsia="es-ES"/>
    </w:rPr>
  </w:style>
  <w:style w:type="numbering" w:customStyle="1" w:styleId="Estilo1">
    <w:name w:val="Estilo1"/>
    <w:uiPriority w:val="99"/>
    <w:rsid w:val="00672FF2"/>
    <w:pPr>
      <w:numPr>
        <w:numId w:val="7"/>
      </w:numPr>
    </w:pPr>
  </w:style>
  <w:style w:type="table" w:styleId="Tablaconcuadrcula5">
    <w:name w:val="Table Grid 5"/>
    <w:basedOn w:val="Tablanormal"/>
    <w:rsid w:val="00672FF2"/>
    <w:pPr>
      <w:spacing w:after="0" w:line="240" w:lineRule="auto"/>
    </w:pPr>
    <w:rPr>
      <w:rFonts w:ascii="Times New Roman" w:eastAsia="Times New Roman" w:hAnsi="Times New Roman" w:cs="Times New Roman"/>
      <w:sz w:val="20"/>
      <w:szCs w:val="20"/>
      <w:lang w:eastAsia="es-C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Textosinformato">
    <w:name w:val="Plain Text"/>
    <w:basedOn w:val="Normal"/>
    <w:link w:val="TextosinformatoCar"/>
    <w:uiPriority w:val="99"/>
    <w:unhideWhenUsed/>
    <w:rsid w:val="00672FF2"/>
    <w:pPr>
      <w:spacing w:after="0" w:line="240" w:lineRule="auto"/>
    </w:pPr>
    <w:rPr>
      <w:szCs w:val="21"/>
    </w:rPr>
  </w:style>
  <w:style w:type="character" w:customStyle="1" w:styleId="TextosinformatoCar">
    <w:name w:val="Texto sin formato Car"/>
    <w:basedOn w:val="Fuentedeprrafopredeter"/>
    <w:link w:val="Textosinformato"/>
    <w:uiPriority w:val="99"/>
    <w:rsid w:val="00672FF2"/>
    <w:rPr>
      <w:rFonts w:ascii="Calibri" w:eastAsia="Calibri" w:hAnsi="Calibri" w:cs="Times New Roman"/>
      <w:szCs w:val="21"/>
    </w:rPr>
  </w:style>
  <w:style w:type="paragraph" w:styleId="Textoindependiente3">
    <w:name w:val="Body Text 3"/>
    <w:basedOn w:val="Normal"/>
    <w:link w:val="Textoindependiente3Car"/>
    <w:uiPriority w:val="99"/>
    <w:semiHidden/>
    <w:unhideWhenUsed/>
    <w:rsid w:val="00A05CCB"/>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A05CCB"/>
    <w:rPr>
      <w:rFonts w:ascii="Calibri" w:eastAsia="Calibri"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59451">
      <w:bodyDiv w:val="1"/>
      <w:marLeft w:val="0"/>
      <w:marRight w:val="0"/>
      <w:marTop w:val="0"/>
      <w:marBottom w:val="0"/>
      <w:divBdr>
        <w:top w:val="none" w:sz="0" w:space="0" w:color="auto"/>
        <w:left w:val="none" w:sz="0" w:space="0" w:color="auto"/>
        <w:bottom w:val="none" w:sz="0" w:space="0" w:color="auto"/>
        <w:right w:val="none" w:sz="0" w:space="0" w:color="auto"/>
      </w:divBdr>
    </w:div>
    <w:div w:id="195429163">
      <w:bodyDiv w:val="1"/>
      <w:marLeft w:val="0"/>
      <w:marRight w:val="0"/>
      <w:marTop w:val="0"/>
      <w:marBottom w:val="0"/>
      <w:divBdr>
        <w:top w:val="none" w:sz="0" w:space="0" w:color="auto"/>
        <w:left w:val="none" w:sz="0" w:space="0" w:color="auto"/>
        <w:bottom w:val="none" w:sz="0" w:space="0" w:color="auto"/>
        <w:right w:val="none" w:sz="0" w:space="0" w:color="auto"/>
      </w:divBdr>
    </w:div>
    <w:div w:id="304551535">
      <w:bodyDiv w:val="1"/>
      <w:marLeft w:val="0"/>
      <w:marRight w:val="0"/>
      <w:marTop w:val="0"/>
      <w:marBottom w:val="0"/>
      <w:divBdr>
        <w:top w:val="none" w:sz="0" w:space="0" w:color="auto"/>
        <w:left w:val="none" w:sz="0" w:space="0" w:color="auto"/>
        <w:bottom w:val="none" w:sz="0" w:space="0" w:color="auto"/>
        <w:right w:val="none" w:sz="0" w:space="0" w:color="auto"/>
      </w:divBdr>
    </w:div>
    <w:div w:id="733117465">
      <w:bodyDiv w:val="1"/>
      <w:marLeft w:val="0"/>
      <w:marRight w:val="0"/>
      <w:marTop w:val="0"/>
      <w:marBottom w:val="0"/>
      <w:divBdr>
        <w:top w:val="none" w:sz="0" w:space="0" w:color="auto"/>
        <w:left w:val="none" w:sz="0" w:space="0" w:color="auto"/>
        <w:bottom w:val="none" w:sz="0" w:space="0" w:color="auto"/>
        <w:right w:val="none" w:sz="0" w:space="0" w:color="auto"/>
      </w:divBdr>
    </w:div>
    <w:div w:id="756707215">
      <w:bodyDiv w:val="1"/>
      <w:marLeft w:val="0"/>
      <w:marRight w:val="0"/>
      <w:marTop w:val="0"/>
      <w:marBottom w:val="0"/>
      <w:divBdr>
        <w:top w:val="none" w:sz="0" w:space="0" w:color="auto"/>
        <w:left w:val="none" w:sz="0" w:space="0" w:color="auto"/>
        <w:bottom w:val="none" w:sz="0" w:space="0" w:color="auto"/>
        <w:right w:val="none" w:sz="0" w:space="0" w:color="auto"/>
      </w:divBdr>
    </w:div>
    <w:div w:id="990981476">
      <w:bodyDiv w:val="1"/>
      <w:marLeft w:val="0"/>
      <w:marRight w:val="0"/>
      <w:marTop w:val="0"/>
      <w:marBottom w:val="0"/>
      <w:divBdr>
        <w:top w:val="none" w:sz="0" w:space="0" w:color="auto"/>
        <w:left w:val="none" w:sz="0" w:space="0" w:color="auto"/>
        <w:bottom w:val="none" w:sz="0" w:space="0" w:color="auto"/>
        <w:right w:val="none" w:sz="0" w:space="0" w:color="auto"/>
      </w:divBdr>
    </w:div>
    <w:div w:id="1001398288">
      <w:bodyDiv w:val="1"/>
      <w:marLeft w:val="0"/>
      <w:marRight w:val="0"/>
      <w:marTop w:val="0"/>
      <w:marBottom w:val="0"/>
      <w:divBdr>
        <w:top w:val="none" w:sz="0" w:space="0" w:color="auto"/>
        <w:left w:val="none" w:sz="0" w:space="0" w:color="auto"/>
        <w:bottom w:val="none" w:sz="0" w:space="0" w:color="auto"/>
        <w:right w:val="none" w:sz="0" w:space="0" w:color="auto"/>
      </w:divBdr>
    </w:div>
    <w:div w:id="1246955790">
      <w:bodyDiv w:val="1"/>
      <w:marLeft w:val="0"/>
      <w:marRight w:val="0"/>
      <w:marTop w:val="0"/>
      <w:marBottom w:val="0"/>
      <w:divBdr>
        <w:top w:val="none" w:sz="0" w:space="0" w:color="auto"/>
        <w:left w:val="none" w:sz="0" w:space="0" w:color="auto"/>
        <w:bottom w:val="none" w:sz="0" w:space="0" w:color="auto"/>
        <w:right w:val="none" w:sz="0" w:space="0" w:color="auto"/>
      </w:divBdr>
    </w:div>
    <w:div w:id="1252852408">
      <w:bodyDiv w:val="1"/>
      <w:marLeft w:val="0"/>
      <w:marRight w:val="0"/>
      <w:marTop w:val="0"/>
      <w:marBottom w:val="0"/>
      <w:divBdr>
        <w:top w:val="none" w:sz="0" w:space="0" w:color="auto"/>
        <w:left w:val="none" w:sz="0" w:space="0" w:color="auto"/>
        <w:bottom w:val="none" w:sz="0" w:space="0" w:color="auto"/>
        <w:right w:val="none" w:sz="0" w:space="0" w:color="auto"/>
      </w:divBdr>
    </w:div>
    <w:div w:id="1313676473">
      <w:bodyDiv w:val="1"/>
      <w:marLeft w:val="0"/>
      <w:marRight w:val="0"/>
      <w:marTop w:val="0"/>
      <w:marBottom w:val="0"/>
      <w:divBdr>
        <w:top w:val="none" w:sz="0" w:space="0" w:color="auto"/>
        <w:left w:val="none" w:sz="0" w:space="0" w:color="auto"/>
        <w:bottom w:val="none" w:sz="0" w:space="0" w:color="auto"/>
        <w:right w:val="none" w:sz="0" w:space="0" w:color="auto"/>
      </w:divBdr>
    </w:div>
    <w:div w:id="1314482165">
      <w:bodyDiv w:val="1"/>
      <w:marLeft w:val="0"/>
      <w:marRight w:val="0"/>
      <w:marTop w:val="0"/>
      <w:marBottom w:val="0"/>
      <w:divBdr>
        <w:top w:val="none" w:sz="0" w:space="0" w:color="auto"/>
        <w:left w:val="none" w:sz="0" w:space="0" w:color="auto"/>
        <w:bottom w:val="none" w:sz="0" w:space="0" w:color="auto"/>
        <w:right w:val="none" w:sz="0" w:space="0" w:color="auto"/>
      </w:divBdr>
    </w:div>
    <w:div w:id="1352074294">
      <w:bodyDiv w:val="1"/>
      <w:marLeft w:val="0"/>
      <w:marRight w:val="0"/>
      <w:marTop w:val="0"/>
      <w:marBottom w:val="0"/>
      <w:divBdr>
        <w:top w:val="none" w:sz="0" w:space="0" w:color="auto"/>
        <w:left w:val="none" w:sz="0" w:space="0" w:color="auto"/>
        <w:bottom w:val="none" w:sz="0" w:space="0" w:color="auto"/>
        <w:right w:val="none" w:sz="0" w:space="0" w:color="auto"/>
      </w:divBdr>
    </w:div>
    <w:div w:id="1368488678">
      <w:bodyDiv w:val="1"/>
      <w:marLeft w:val="0"/>
      <w:marRight w:val="0"/>
      <w:marTop w:val="0"/>
      <w:marBottom w:val="0"/>
      <w:divBdr>
        <w:top w:val="none" w:sz="0" w:space="0" w:color="auto"/>
        <w:left w:val="none" w:sz="0" w:space="0" w:color="auto"/>
        <w:bottom w:val="none" w:sz="0" w:space="0" w:color="auto"/>
        <w:right w:val="none" w:sz="0" w:space="0" w:color="auto"/>
      </w:divBdr>
    </w:div>
    <w:div w:id="1630279316">
      <w:bodyDiv w:val="1"/>
      <w:marLeft w:val="0"/>
      <w:marRight w:val="0"/>
      <w:marTop w:val="0"/>
      <w:marBottom w:val="0"/>
      <w:divBdr>
        <w:top w:val="none" w:sz="0" w:space="0" w:color="auto"/>
        <w:left w:val="none" w:sz="0" w:space="0" w:color="auto"/>
        <w:bottom w:val="none" w:sz="0" w:space="0" w:color="auto"/>
        <w:right w:val="none" w:sz="0" w:space="0" w:color="auto"/>
      </w:divBdr>
    </w:div>
    <w:div w:id="2002730481">
      <w:bodyDiv w:val="1"/>
      <w:marLeft w:val="0"/>
      <w:marRight w:val="0"/>
      <w:marTop w:val="0"/>
      <w:marBottom w:val="0"/>
      <w:divBdr>
        <w:top w:val="none" w:sz="0" w:space="0" w:color="auto"/>
        <w:left w:val="none" w:sz="0" w:space="0" w:color="auto"/>
        <w:bottom w:val="none" w:sz="0" w:space="0" w:color="auto"/>
        <w:right w:val="none" w:sz="0" w:space="0" w:color="auto"/>
      </w:divBdr>
    </w:div>
    <w:div w:id="2009211080">
      <w:bodyDiv w:val="1"/>
      <w:marLeft w:val="0"/>
      <w:marRight w:val="0"/>
      <w:marTop w:val="0"/>
      <w:marBottom w:val="0"/>
      <w:divBdr>
        <w:top w:val="none" w:sz="0" w:space="0" w:color="auto"/>
        <w:left w:val="none" w:sz="0" w:space="0" w:color="auto"/>
        <w:bottom w:val="none" w:sz="0" w:space="0" w:color="auto"/>
        <w:right w:val="none" w:sz="0" w:space="0" w:color="auto"/>
      </w:divBdr>
    </w:div>
    <w:div w:id="2022318697">
      <w:bodyDiv w:val="1"/>
      <w:marLeft w:val="0"/>
      <w:marRight w:val="0"/>
      <w:marTop w:val="0"/>
      <w:marBottom w:val="0"/>
      <w:divBdr>
        <w:top w:val="none" w:sz="0" w:space="0" w:color="auto"/>
        <w:left w:val="none" w:sz="0" w:space="0" w:color="auto"/>
        <w:bottom w:val="none" w:sz="0" w:space="0" w:color="auto"/>
        <w:right w:val="none" w:sz="0" w:space="0" w:color="auto"/>
      </w:divBdr>
    </w:div>
    <w:div w:id="2046060372">
      <w:bodyDiv w:val="1"/>
      <w:marLeft w:val="0"/>
      <w:marRight w:val="0"/>
      <w:marTop w:val="0"/>
      <w:marBottom w:val="0"/>
      <w:divBdr>
        <w:top w:val="none" w:sz="0" w:space="0" w:color="auto"/>
        <w:left w:val="none" w:sz="0" w:space="0" w:color="auto"/>
        <w:bottom w:val="none" w:sz="0" w:space="0" w:color="auto"/>
        <w:right w:val="none" w:sz="0" w:space="0" w:color="auto"/>
      </w:divBdr>
    </w:div>
    <w:div w:id="205966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1.emf"/><Relationship Id="rId21" Type="http://schemas.openxmlformats.org/officeDocument/2006/relationships/image" Target="media/image14.emf"/><Relationship Id="rId34" Type="http://schemas.openxmlformats.org/officeDocument/2006/relationships/image" Target="media/image26.emf"/><Relationship Id="rId42" Type="http://schemas.openxmlformats.org/officeDocument/2006/relationships/image" Target="media/image34.emf"/><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4.emf"/><Relationship Id="rId37" Type="http://schemas.openxmlformats.org/officeDocument/2006/relationships/image" Target="media/image29.emf"/><Relationship Id="rId40" Type="http://schemas.openxmlformats.org/officeDocument/2006/relationships/image" Target="media/image32.emf"/><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8.e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3.emf"/><Relationship Id="rId44" Type="http://schemas.openxmlformats.org/officeDocument/2006/relationships/image" Target="media/image36.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chart" Target="charts/chart1.xml"/><Relationship Id="rId35" Type="http://schemas.openxmlformats.org/officeDocument/2006/relationships/image" Target="media/image27.emf"/><Relationship Id="rId43" Type="http://schemas.openxmlformats.org/officeDocument/2006/relationships/image" Target="media/image35.emf"/><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5.emf"/><Relationship Id="rId38" Type="http://schemas.openxmlformats.org/officeDocument/2006/relationships/image" Target="media/image30.emf"/><Relationship Id="rId46" Type="http://schemas.openxmlformats.org/officeDocument/2006/relationships/footer" Target="footer1.xml"/><Relationship Id="rId20" Type="http://schemas.openxmlformats.org/officeDocument/2006/relationships/image" Target="media/image13.emf"/><Relationship Id="rId41" Type="http://schemas.openxmlformats.org/officeDocument/2006/relationships/image" Target="media/image33.emf"/></Relationships>
</file>

<file path=word/_rels/footer1.xml.rels><?xml version="1.0" encoding="UTF-8" standalone="yes"?>
<Relationships xmlns="http://schemas.openxmlformats.org/package/2006/relationships"><Relationship Id="rId1" Type="http://schemas.openxmlformats.org/officeDocument/2006/relationships/hyperlink" Target="file:///C:\Users\Dscott\AppData\Local\Microsoft\Windows\Temporary%20Internet%20Files\Content.Outlook\FQ02TCLC\www.invu.go.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7.jpeg"/></Relationships>
</file>

<file path=word/charts/_rels/chart1.xml.rels><?xml version="1.0" encoding="UTF-8" standalone="yes"?>
<Relationships xmlns="http://schemas.openxmlformats.org/package/2006/relationships"><Relationship Id="rId2" Type="http://schemas.openxmlformats.org/officeDocument/2006/relationships/oleObject" Target="file:///C:\Users\Mnavarro\Desktop\presupuestos\Presupuesto%202017\Ejecuci&#243;n%20presupuestaria%202017\Hoja%20de%20trabajo%20de%20la%20ejecuci&#243;n%202017.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Instituto Nacional de Vivienda y Urbanismo</a:t>
            </a:r>
          </a:p>
          <a:p>
            <a:pPr>
              <a:defRPr sz="1400" b="0" i="0" u="none" strike="noStrike" kern="1200" spc="0" baseline="0">
                <a:solidFill>
                  <a:schemeClr val="tx1">
                    <a:lumMod val="65000"/>
                    <a:lumOff val="35000"/>
                  </a:schemeClr>
                </a:solidFill>
                <a:latin typeface="+mn-lt"/>
                <a:ea typeface="+mn-ea"/>
                <a:cs typeface="+mn-cs"/>
              </a:defRPr>
            </a:pPr>
            <a:r>
              <a:rPr lang="en-US"/>
              <a:t>Ingresos Presupuestados y Percibidos</a:t>
            </a:r>
          </a:p>
          <a:p>
            <a:pPr>
              <a:defRPr sz="1400" b="0" i="0" u="none" strike="noStrike" kern="1200" spc="0" baseline="0">
                <a:solidFill>
                  <a:schemeClr val="tx1">
                    <a:lumMod val="65000"/>
                    <a:lumOff val="35000"/>
                  </a:schemeClr>
                </a:solidFill>
                <a:latin typeface="+mn-lt"/>
                <a:ea typeface="+mn-ea"/>
                <a:cs typeface="+mn-cs"/>
              </a:defRPr>
            </a:pPr>
            <a:r>
              <a:rPr lang="en-US"/>
              <a:t>al</a:t>
            </a:r>
            <a:r>
              <a:rPr lang="en-US" baseline="0"/>
              <a:t> 31 de Diciembre del 2017</a:t>
            </a:r>
          </a:p>
          <a:p>
            <a:pPr>
              <a:defRPr sz="1400" b="0" i="0" u="none" strike="noStrike" kern="1200" spc="0" baseline="0">
                <a:solidFill>
                  <a:schemeClr val="tx1">
                    <a:lumMod val="65000"/>
                    <a:lumOff val="35000"/>
                  </a:schemeClr>
                </a:solidFill>
                <a:latin typeface="+mn-lt"/>
                <a:ea typeface="+mn-ea"/>
                <a:cs typeface="+mn-cs"/>
              </a:defRPr>
            </a:pPr>
            <a:r>
              <a:rPr lang="en-US" baseline="0"/>
              <a:t>Gráfico No.1</a:t>
            </a:r>
            <a:endParaRPr lang="en-US"/>
          </a:p>
        </c:rich>
      </c:tx>
      <c:overlay val="0"/>
      <c:spPr>
        <a:noFill/>
        <a:ln>
          <a:noFill/>
        </a:ln>
        <a:effectLst/>
      </c:spPr>
    </c:title>
    <c:autoTitleDeleted val="0"/>
    <c:plotArea>
      <c:layout/>
      <c:barChart>
        <c:barDir val="col"/>
        <c:grouping val="clustered"/>
        <c:varyColors val="0"/>
        <c:ser>
          <c:idx val="0"/>
          <c:order val="0"/>
          <c:tx>
            <c:strRef>
              <c:f>Hoja1!$B$44</c:f>
              <c:strCache>
                <c:ptCount val="1"/>
                <c:pt idx="0">
                  <c:v>Monto Presupuestado</c:v>
                </c:pt>
              </c:strCache>
            </c:strRef>
          </c:tx>
          <c:spPr>
            <a:solidFill>
              <a:schemeClr val="accent1"/>
            </a:solidFill>
            <a:ln>
              <a:noFill/>
            </a:ln>
            <a:effectLst/>
          </c:spPr>
          <c:invertIfNegative val="0"/>
          <c:cat>
            <c:strRef>
              <c:f>Hoja1!$A$45:$A$48</c:f>
              <c:strCache>
                <c:ptCount val="4"/>
                <c:pt idx="0">
                  <c:v>Ingresos Corrientes</c:v>
                </c:pt>
                <c:pt idx="1">
                  <c:v>Ingresos de Capital</c:v>
                </c:pt>
                <c:pt idx="2">
                  <c:v>Ingresos de Financiamiento</c:v>
                </c:pt>
                <c:pt idx="3">
                  <c:v>Total </c:v>
                </c:pt>
              </c:strCache>
            </c:strRef>
          </c:cat>
          <c:val>
            <c:numRef>
              <c:f>Hoja1!$B$45:$B$48</c:f>
              <c:numCache>
                <c:formatCode>_(* #,##0.00_);_(* \(#,##0.00\);_(* "-"??_);_(@_)</c:formatCode>
                <c:ptCount val="4"/>
                <c:pt idx="0">
                  <c:v>16530012618</c:v>
                </c:pt>
                <c:pt idx="1">
                  <c:v>25745014701</c:v>
                </c:pt>
                <c:pt idx="2">
                  <c:v>13968891990</c:v>
                </c:pt>
                <c:pt idx="3">
                  <c:v>56243919309</c:v>
                </c:pt>
              </c:numCache>
            </c:numRef>
          </c:val>
          <c:extLst>
            <c:ext xmlns:c16="http://schemas.microsoft.com/office/drawing/2014/chart" uri="{C3380CC4-5D6E-409C-BE32-E72D297353CC}">
              <c16:uniqueId val="{00000000-9BD7-4D25-9990-A15AF4CA7CA6}"/>
            </c:ext>
          </c:extLst>
        </c:ser>
        <c:ser>
          <c:idx val="1"/>
          <c:order val="1"/>
          <c:tx>
            <c:strRef>
              <c:f>Hoja1!$C$44</c:f>
              <c:strCache>
                <c:ptCount val="1"/>
                <c:pt idx="0">
                  <c:v>Monto Percibido</c:v>
                </c:pt>
              </c:strCache>
            </c:strRef>
          </c:tx>
          <c:spPr>
            <a:solidFill>
              <a:schemeClr val="accent2"/>
            </a:solidFill>
            <a:ln>
              <a:noFill/>
            </a:ln>
            <a:effectLst/>
          </c:spPr>
          <c:invertIfNegative val="0"/>
          <c:cat>
            <c:strRef>
              <c:f>Hoja1!$A$45:$A$48</c:f>
              <c:strCache>
                <c:ptCount val="4"/>
                <c:pt idx="0">
                  <c:v>Ingresos Corrientes</c:v>
                </c:pt>
                <c:pt idx="1">
                  <c:v>Ingresos de Capital</c:v>
                </c:pt>
                <c:pt idx="2">
                  <c:v>Ingresos de Financiamiento</c:v>
                </c:pt>
                <c:pt idx="3">
                  <c:v>Total </c:v>
                </c:pt>
              </c:strCache>
            </c:strRef>
          </c:cat>
          <c:val>
            <c:numRef>
              <c:f>Hoja1!$C$45:$C$48</c:f>
              <c:numCache>
                <c:formatCode>_(* #,##0.00_);_(* \(#,##0.00\);_(* "-"??_);_(@_)</c:formatCode>
                <c:ptCount val="4"/>
                <c:pt idx="0">
                  <c:v>17251417259.470001</c:v>
                </c:pt>
                <c:pt idx="1">
                  <c:v>16824323092.84</c:v>
                </c:pt>
                <c:pt idx="2">
                  <c:v>11070147280.84</c:v>
                </c:pt>
                <c:pt idx="3">
                  <c:v>45145887633.150002</c:v>
                </c:pt>
              </c:numCache>
            </c:numRef>
          </c:val>
          <c:extLst>
            <c:ext xmlns:c16="http://schemas.microsoft.com/office/drawing/2014/chart" uri="{C3380CC4-5D6E-409C-BE32-E72D297353CC}">
              <c16:uniqueId val="{00000001-9BD7-4D25-9990-A15AF4CA7CA6}"/>
            </c:ext>
          </c:extLst>
        </c:ser>
        <c:ser>
          <c:idx val="2"/>
          <c:order val="2"/>
          <c:tx>
            <c:strRef>
              <c:f>Hoja1!$D$44</c:f>
              <c:strCache>
                <c:ptCount val="1"/>
                <c:pt idx="0">
                  <c:v>Porcentaje</c:v>
                </c:pt>
              </c:strCache>
            </c:strRef>
          </c:tx>
          <c:spPr>
            <a:solidFill>
              <a:schemeClr val="accent3"/>
            </a:solidFill>
            <a:ln>
              <a:noFill/>
            </a:ln>
            <a:effectLst/>
          </c:spPr>
          <c:invertIfNegative val="0"/>
          <c:cat>
            <c:strRef>
              <c:f>Hoja1!$A$45:$A$48</c:f>
              <c:strCache>
                <c:ptCount val="4"/>
                <c:pt idx="0">
                  <c:v>Ingresos Corrientes</c:v>
                </c:pt>
                <c:pt idx="1">
                  <c:v>Ingresos de Capital</c:v>
                </c:pt>
                <c:pt idx="2">
                  <c:v>Ingresos de Financiamiento</c:v>
                </c:pt>
                <c:pt idx="3">
                  <c:v>Total </c:v>
                </c:pt>
              </c:strCache>
            </c:strRef>
          </c:cat>
          <c:val>
            <c:numRef>
              <c:f>Hoja1!$D$45:$D$48</c:f>
              <c:numCache>
                <c:formatCode>0%</c:formatCode>
                <c:ptCount val="4"/>
                <c:pt idx="0">
                  <c:v>1.0436421107558287</c:v>
                </c:pt>
                <c:pt idx="1">
                  <c:v>0.65349829037722407</c:v>
                </c:pt>
                <c:pt idx="2">
                  <c:v>0.79248570958704934</c:v>
                </c:pt>
                <c:pt idx="3">
                  <c:v>0.80268032860800076</c:v>
                </c:pt>
              </c:numCache>
            </c:numRef>
          </c:val>
          <c:extLst>
            <c:ext xmlns:c16="http://schemas.microsoft.com/office/drawing/2014/chart" uri="{C3380CC4-5D6E-409C-BE32-E72D297353CC}">
              <c16:uniqueId val="{00000002-9BD7-4D25-9990-A15AF4CA7CA6}"/>
            </c:ext>
          </c:extLst>
        </c:ser>
        <c:dLbls>
          <c:showLegendKey val="0"/>
          <c:showVal val="0"/>
          <c:showCatName val="0"/>
          <c:showSerName val="0"/>
          <c:showPercent val="0"/>
          <c:showBubbleSize val="0"/>
        </c:dLbls>
        <c:gapWidth val="219"/>
        <c:overlap val="-27"/>
        <c:axId val="81876992"/>
        <c:axId val="162818304"/>
      </c:barChart>
      <c:catAx>
        <c:axId val="81876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162818304"/>
        <c:crosses val="autoZero"/>
        <c:auto val="1"/>
        <c:lblAlgn val="ctr"/>
        <c:lblOffset val="100"/>
        <c:noMultiLvlLbl val="0"/>
      </c:catAx>
      <c:valAx>
        <c:axId val="162818304"/>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8187699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C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1A0368-D768-402D-A201-17DDF235C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849</TotalTime>
  <Pages>116</Pages>
  <Words>25576</Words>
  <Characters>140674</Characters>
  <Application>Microsoft Office Word</Application>
  <DocSecurity>0</DocSecurity>
  <Lines>1172</Lines>
  <Paragraphs>331</Paragraphs>
  <ScaleCrop>false</ScaleCrop>
  <HeadingPairs>
    <vt:vector size="2" baseType="variant">
      <vt:variant>
        <vt:lpstr>Título</vt:lpstr>
      </vt:variant>
      <vt:variant>
        <vt:i4>1</vt:i4>
      </vt:variant>
    </vt:vector>
  </HeadingPairs>
  <TitlesOfParts>
    <vt:vector size="1" baseType="lpstr">
      <vt:lpstr/>
    </vt:vector>
  </TitlesOfParts>
  <Company>INVU</Company>
  <LinksUpToDate>false</LinksUpToDate>
  <CharactersWithSpaces>165919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jleiva</dc:creator>
  <cp:lastModifiedBy>Tatiana Mora Moya</cp:lastModifiedBy>
  <cp:revision>39</cp:revision>
  <cp:lastPrinted>2018-04-19T01:32:00Z</cp:lastPrinted>
  <dcterms:created xsi:type="dcterms:W3CDTF">2018-02-13T15:46:00Z</dcterms:created>
  <dcterms:modified xsi:type="dcterms:W3CDTF">2018-04-19T01:33:00Z</dcterms:modified>
</cp:coreProperties>
</file>